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A8" w:rsidRDefault="002A51A8" w:rsidP="002A51A8">
      <w:pPr>
        <w:jc w:val="center"/>
        <w:rPr>
          <w:rStyle w:val="Strong"/>
          <w:rFonts w:cs="Arial"/>
          <w:sz w:val="28"/>
          <w:szCs w:val="28"/>
        </w:rPr>
      </w:pPr>
      <w:r w:rsidRPr="00F014BC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CBAB742" wp14:editId="62153704">
            <wp:simplePos x="0" y="0"/>
            <wp:positionH relativeFrom="column">
              <wp:posOffset>-137159</wp:posOffset>
            </wp:positionH>
            <wp:positionV relativeFrom="paragraph">
              <wp:posOffset>-546735</wp:posOffset>
            </wp:positionV>
            <wp:extent cx="6400800" cy="16097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4BC">
        <w:rPr>
          <w:rStyle w:val="Strong"/>
          <w:rFonts w:cs="Arial"/>
          <w:sz w:val="32"/>
          <w:szCs w:val="32"/>
        </w:rPr>
        <w:t>Lahontan</w:t>
      </w:r>
      <w:r>
        <w:rPr>
          <w:rStyle w:val="Strong"/>
          <w:rFonts w:cs="Arial"/>
          <w:sz w:val="28"/>
          <w:szCs w:val="28"/>
        </w:rPr>
        <w:t xml:space="preserve"> W</w:t>
      </w:r>
      <w:r w:rsidRPr="00F014BC">
        <w:rPr>
          <w:rStyle w:val="Strong"/>
          <w:rFonts w:cs="Arial"/>
          <w:sz w:val="32"/>
          <w:szCs w:val="32"/>
        </w:rPr>
        <w:t>ater</w:t>
      </w:r>
      <w:r>
        <w:rPr>
          <w:rStyle w:val="Strong"/>
          <w:rFonts w:cs="Arial"/>
          <w:sz w:val="28"/>
          <w:szCs w:val="28"/>
        </w:rPr>
        <w:t xml:space="preserve"> </w:t>
      </w:r>
      <w:r w:rsidRPr="00F014BC">
        <w:rPr>
          <w:rStyle w:val="Strong"/>
          <w:rFonts w:cs="Arial"/>
          <w:sz w:val="32"/>
          <w:szCs w:val="32"/>
        </w:rPr>
        <w:t>Board</w:t>
      </w:r>
      <w:r>
        <w:rPr>
          <w:rStyle w:val="Strong"/>
          <w:rFonts w:cs="Arial"/>
          <w:sz w:val="28"/>
          <w:szCs w:val="28"/>
        </w:rPr>
        <w:t xml:space="preserve"> </w:t>
      </w:r>
      <w:r w:rsidRPr="00F014BC">
        <w:rPr>
          <w:rStyle w:val="Strong"/>
          <w:rFonts w:cs="Arial"/>
          <w:sz w:val="32"/>
          <w:szCs w:val="32"/>
        </w:rPr>
        <w:t>Program</w:t>
      </w:r>
      <w:r>
        <w:rPr>
          <w:rStyle w:val="Strong"/>
          <w:rFonts w:cs="Arial"/>
          <w:sz w:val="28"/>
          <w:szCs w:val="28"/>
        </w:rPr>
        <w:t xml:space="preserve"> </w:t>
      </w:r>
      <w:r w:rsidRPr="00F014BC">
        <w:rPr>
          <w:rStyle w:val="Strong"/>
          <w:rFonts w:cs="Arial"/>
          <w:sz w:val="32"/>
          <w:szCs w:val="32"/>
        </w:rPr>
        <w:t>Fact</w:t>
      </w:r>
      <w:r>
        <w:rPr>
          <w:rStyle w:val="Strong"/>
          <w:rFonts w:cs="Arial"/>
          <w:sz w:val="28"/>
          <w:szCs w:val="28"/>
        </w:rPr>
        <w:t xml:space="preserve"> </w:t>
      </w:r>
      <w:r w:rsidRPr="00F014BC">
        <w:rPr>
          <w:rStyle w:val="Strong"/>
          <w:rFonts w:cs="Arial"/>
          <w:sz w:val="32"/>
          <w:szCs w:val="32"/>
        </w:rPr>
        <w:t>Sheet</w:t>
      </w:r>
    </w:p>
    <w:p w:rsidR="002A51A8" w:rsidRDefault="002A51A8" w:rsidP="002A51A8">
      <w:pPr>
        <w:tabs>
          <w:tab w:val="right" w:pos="9630"/>
        </w:tabs>
        <w:jc w:val="center"/>
        <w:rPr>
          <w:rStyle w:val="Strong"/>
          <w:sz w:val="32"/>
        </w:rPr>
      </w:pPr>
      <w:r>
        <w:rPr>
          <w:rStyle w:val="Strong"/>
          <w:sz w:val="32"/>
        </w:rPr>
        <w:t>FY</w:t>
      </w:r>
      <w:r w:rsidRPr="00880AD2">
        <w:rPr>
          <w:rStyle w:val="Strong"/>
          <w:sz w:val="32"/>
        </w:rPr>
        <w:t xml:space="preserve"> 201</w:t>
      </w:r>
      <w:r>
        <w:rPr>
          <w:rStyle w:val="Strong"/>
          <w:sz w:val="32"/>
        </w:rPr>
        <w:t>7–</w:t>
      </w:r>
      <w:r w:rsidRPr="00880AD2">
        <w:rPr>
          <w:rStyle w:val="Strong"/>
          <w:sz w:val="32"/>
        </w:rPr>
        <w:t>201</w:t>
      </w:r>
      <w:r>
        <w:rPr>
          <w:rStyle w:val="Strong"/>
          <w:sz w:val="32"/>
        </w:rPr>
        <w:t xml:space="preserve">8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2A51A8" w:rsidRPr="000E014E" w:rsidTr="00DF47AD">
        <w:trPr>
          <w:trHeight w:val="20"/>
        </w:trPr>
        <w:tc>
          <w:tcPr>
            <w:tcW w:w="9878" w:type="dxa"/>
            <w:shd w:val="clear" w:color="auto" w:fill="auto"/>
          </w:tcPr>
          <w:p w:rsidR="002A51A8" w:rsidRPr="000E014E" w:rsidRDefault="002A51A8" w:rsidP="00DF47AD">
            <w:pPr>
              <w:tabs>
                <w:tab w:val="right" w:pos="9630"/>
              </w:tabs>
              <w:jc w:val="center"/>
              <w:rPr>
                <w:rStyle w:val="Strong"/>
                <w:sz w:val="40"/>
                <w:szCs w:val="32"/>
              </w:rPr>
            </w:pPr>
            <w:r>
              <w:rPr>
                <w:rStyle w:val="Strong"/>
                <w:i/>
                <w:sz w:val="40"/>
                <w:szCs w:val="32"/>
              </w:rPr>
              <w:t>Dredge and Fill</w:t>
            </w:r>
          </w:p>
        </w:tc>
      </w:tr>
    </w:tbl>
    <w:p w:rsidR="00B24389" w:rsidRPr="00F90D31" w:rsidRDefault="002C06A4" w:rsidP="008D2140">
      <w:pPr>
        <w:jc w:val="center"/>
        <w:rPr>
          <w:rStyle w:val="Strong"/>
          <w:rFonts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822BD" wp14:editId="6829678D">
            <wp:simplePos x="0" y="0"/>
            <wp:positionH relativeFrom="column">
              <wp:posOffset>52705</wp:posOffset>
            </wp:positionH>
            <wp:positionV relativeFrom="paragraph">
              <wp:posOffset>5289550</wp:posOffset>
            </wp:positionV>
            <wp:extent cx="3609975" cy="2562225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904005" wp14:editId="32F4CB1F">
            <wp:simplePos x="0" y="0"/>
            <wp:positionH relativeFrom="column">
              <wp:posOffset>3206115</wp:posOffset>
            </wp:positionH>
            <wp:positionV relativeFrom="paragraph">
              <wp:posOffset>5289550</wp:posOffset>
            </wp:positionV>
            <wp:extent cx="3609975" cy="2562225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80" w:type="dxa"/>
        <w:tblInd w:w="-18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22E6D" w:rsidTr="00F90D31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85F70" w:rsidRDefault="00D22E6D" w:rsidP="00572047">
            <w:pPr>
              <w:tabs>
                <w:tab w:val="left" w:pos="1800"/>
              </w:tabs>
              <w:spacing w:after="120"/>
              <w:rPr>
                <w:rStyle w:val="Strong"/>
                <w:b w:val="0"/>
                <w:sz w:val="32"/>
              </w:rPr>
            </w:pPr>
            <w:r w:rsidRPr="006F30E6">
              <w:rPr>
                <w:rStyle w:val="Strong"/>
                <w:b w:val="0"/>
                <w:sz w:val="32"/>
              </w:rPr>
              <w:t>Overview</w:t>
            </w:r>
          </w:p>
          <w:p w:rsidR="00F524AD" w:rsidRPr="009E27EB" w:rsidRDefault="00F32AE1" w:rsidP="001672A1">
            <w:pPr>
              <w:tabs>
                <w:tab w:val="left" w:pos="1800"/>
              </w:tabs>
              <w:rPr>
                <w:rStyle w:val="Strong"/>
                <w:b w:val="0"/>
              </w:rPr>
            </w:pPr>
            <w:r w:rsidRPr="009E27EB">
              <w:rPr>
                <w:rStyle w:val="Strong"/>
                <w:b w:val="0"/>
              </w:rPr>
              <w:t xml:space="preserve">This </w:t>
            </w:r>
            <w:r w:rsidR="00970B5D" w:rsidRPr="009E27EB">
              <w:rPr>
                <w:rStyle w:val="Strong"/>
                <w:b w:val="0"/>
              </w:rPr>
              <w:t>P</w:t>
            </w:r>
            <w:r w:rsidRPr="009E27EB">
              <w:rPr>
                <w:rStyle w:val="Strong"/>
                <w:b w:val="0"/>
              </w:rPr>
              <w:t xml:space="preserve">rogram regulates discharges of </w:t>
            </w:r>
            <w:r w:rsidR="00F07D14" w:rsidRPr="009E27EB">
              <w:rPr>
                <w:rStyle w:val="Strong"/>
                <w:b w:val="0"/>
              </w:rPr>
              <w:t xml:space="preserve">dredge and </w:t>
            </w:r>
            <w:r w:rsidRPr="009E27EB">
              <w:rPr>
                <w:rStyle w:val="Strong"/>
                <w:b w:val="0"/>
              </w:rPr>
              <w:t xml:space="preserve">fill material </w:t>
            </w:r>
            <w:r w:rsidR="00970B5D" w:rsidRPr="009E27EB">
              <w:rPr>
                <w:rStyle w:val="Strong"/>
                <w:b w:val="0"/>
              </w:rPr>
              <w:t>to all waters of the State</w:t>
            </w:r>
            <w:r w:rsidR="005672C8">
              <w:rPr>
                <w:rStyle w:val="Strong"/>
                <w:b w:val="0"/>
              </w:rPr>
              <w:t xml:space="preserve"> under the </w:t>
            </w:r>
            <w:proofErr w:type="spellStart"/>
            <w:r w:rsidR="005672C8" w:rsidRPr="009E27EB">
              <w:rPr>
                <w:rStyle w:val="Strong"/>
                <w:b w:val="0"/>
              </w:rPr>
              <w:t>the</w:t>
            </w:r>
            <w:proofErr w:type="spellEnd"/>
            <w:r w:rsidR="005672C8" w:rsidRPr="009E27EB">
              <w:rPr>
                <w:rStyle w:val="Strong"/>
                <w:b w:val="0"/>
              </w:rPr>
              <w:t xml:space="preserve"> Porter-Cologne Water Quality Control Act</w:t>
            </w:r>
            <w:r w:rsidR="005672C8">
              <w:rPr>
                <w:rStyle w:val="Strong"/>
                <w:b w:val="0"/>
              </w:rPr>
              <w:t>,</w:t>
            </w:r>
            <w:r w:rsidR="00970B5D" w:rsidRPr="009E27EB">
              <w:rPr>
                <w:rStyle w:val="Strong"/>
                <w:b w:val="0"/>
              </w:rPr>
              <w:t xml:space="preserve"> including water</w:t>
            </w:r>
            <w:r w:rsidR="00B24389" w:rsidRPr="009E27EB">
              <w:rPr>
                <w:rStyle w:val="Strong"/>
                <w:b w:val="0"/>
              </w:rPr>
              <w:t>s</w:t>
            </w:r>
            <w:r w:rsidR="00970B5D" w:rsidRPr="009E27EB">
              <w:rPr>
                <w:rStyle w:val="Strong"/>
                <w:b w:val="0"/>
              </w:rPr>
              <w:t xml:space="preserve"> of the U.S. </w:t>
            </w:r>
            <w:r w:rsidRPr="009E27EB">
              <w:rPr>
                <w:rStyle w:val="Strong"/>
                <w:b w:val="0"/>
              </w:rPr>
              <w:t xml:space="preserve">under Clean Water Act section 401. Additional protections are provided for wetlands, </w:t>
            </w:r>
            <w:r w:rsidR="00A84CF3" w:rsidRPr="009E27EB">
              <w:rPr>
                <w:rStyle w:val="Strong"/>
                <w:b w:val="0"/>
              </w:rPr>
              <w:t>special aquatic sites</w:t>
            </w:r>
            <w:r w:rsidR="005672C8">
              <w:rPr>
                <w:rStyle w:val="Strong"/>
                <w:b w:val="0"/>
              </w:rPr>
              <w:t>,</w:t>
            </w:r>
            <w:r w:rsidRPr="009E27EB">
              <w:rPr>
                <w:rStyle w:val="Strong"/>
                <w:b w:val="0"/>
              </w:rPr>
              <w:t xml:space="preserve"> and headwaters because these waterbodies have </w:t>
            </w:r>
            <w:r w:rsidR="009E27EB">
              <w:rPr>
                <w:rStyle w:val="Strong"/>
                <w:b w:val="0"/>
              </w:rPr>
              <w:t>important functions and values including</w:t>
            </w:r>
            <w:r w:rsidRPr="009E27EB">
              <w:rPr>
                <w:rStyle w:val="Strong"/>
                <w:b w:val="0"/>
              </w:rPr>
              <w:t xml:space="preserve"> pollutant removal, flood water retention, and habitat connectivity</w:t>
            </w:r>
            <w:r w:rsidR="009E27EB">
              <w:rPr>
                <w:rStyle w:val="Strong"/>
                <w:b w:val="0"/>
              </w:rPr>
              <w:t>.</w:t>
            </w:r>
            <w:r w:rsidRPr="009E27EB">
              <w:rPr>
                <w:rStyle w:val="Strong"/>
                <w:b w:val="0"/>
              </w:rPr>
              <w:t xml:space="preserve"> The Program’</w:t>
            </w:r>
            <w:r w:rsidR="009E27EB">
              <w:rPr>
                <w:rStyle w:val="Strong"/>
                <w:b w:val="0"/>
              </w:rPr>
              <w:t>s core</w:t>
            </w:r>
            <w:r w:rsidRPr="009E27EB">
              <w:rPr>
                <w:rStyle w:val="Strong"/>
                <w:b w:val="0"/>
              </w:rPr>
              <w:t xml:space="preserve"> protection </w:t>
            </w:r>
            <w:r w:rsidR="00254063" w:rsidRPr="009E27EB">
              <w:rPr>
                <w:rStyle w:val="Strong"/>
                <w:b w:val="0"/>
              </w:rPr>
              <w:t>strateg</w:t>
            </w:r>
            <w:r w:rsidR="00254063">
              <w:rPr>
                <w:rStyle w:val="Strong"/>
                <w:b w:val="0"/>
              </w:rPr>
              <w:t>y</w:t>
            </w:r>
            <w:r w:rsidR="00254063" w:rsidRPr="009E27EB">
              <w:rPr>
                <w:rStyle w:val="Strong"/>
                <w:b w:val="0"/>
              </w:rPr>
              <w:t xml:space="preserve"> </w:t>
            </w:r>
            <w:r w:rsidRPr="009E27EB">
              <w:rPr>
                <w:rStyle w:val="Strong"/>
                <w:b w:val="0"/>
              </w:rPr>
              <w:t xml:space="preserve">is impact avoidance, followed by </w:t>
            </w:r>
            <w:r w:rsidR="005672C8">
              <w:rPr>
                <w:rStyle w:val="Strong"/>
                <w:b w:val="0"/>
              </w:rPr>
              <w:t xml:space="preserve">impact </w:t>
            </w:r>
            <w:r w:rsidRPr="009E27EB">
              <w:rPr>
                <w:rStyle w:val="Strong"/>
                <w:b w:val="0"/>
              </w:rPr>
              <w:t xml:space="preserve">minimization, and then mitigation to compensate for impacts and </w:t>
            </w:r>
            <w:r w:rsidR="005672C8">
              <w:rPr>
                <w:rStyle w:val="Strong"/>
                <w:b w:val="0"/>
              </w:rPr>
              <w:t xml:space="preserve">to </w:t>
            </w:r>
            <w:r w:rsidRPr="009E27EB">
              <w:rPr>
                <w:rStyle w:val="Strong"/>
                <w:b w:val="0"/>
              </w:rPr>
              <w:t>ensure no net loss of water resources</w:t>
            </w:r>
            <w:r w:rsidR="00CD384C" w:rsidRPr="009E27EB">
              <w:rPr>
                <w:rStyle w:val="Strong"/>
                <w:b w:val="0"/>
              </w:rPr>
              <w:t>.</w:t>
            </w:r>
            <w:r w:rsidR="00B24389" w:rsidRPr="009E27EB">
              <w:rPr>
                <w:rStyle w:val="Strong"/>
                <w:b w:val="0"/>
              </w:rPr>
              <w:t xml:space="preserve"> </w:t>
            </w:r>
            <w:r w:rsidR="00563C78" w:rsidRPr="009E27EB">
              <w:rPr>
                <w:rStyle w:val="Strong"/>
                <w:b w:val="0"/>
              </w:rPr>
              <w:t xml:space="preserve">The </w:t>
            </w:r>
            <w:r w:rsidR="00B24389" w:rsidRPr="009E27EB">
              <w:rPr>
                <w:rStyle w:val="Strong"/>
                <w:b w:val="0"/>
              </w:rPr>
              <w:t>Program</w:t>
            </w:r>
            <w:r w:rsidR="00563C78" w:rsidRPr="009E27EB">
              <w:rPr>
                <w:rStyle w:val="Strong"/>
                <w:b w:val="0"/>
              </w:rPr>
              <w:t xml:space="preserve"> is </w:t>
            </w:r>
            <w:r w:rsidR="009E27EB">
              <w:rPr>
                <w:rStyle w:val="Strong"/>
                <w:b w:val="0"/>
              </w:rPr>
              <w:t xml:space="preserve">supported by </w:t>
            </w:r>
            <w:r w:rsidR="009E27EB" w:rsidRPr="00F90D31">
              <w:rPr>
                <w:rStyle w:val="Strong"/>
                <w:b w:val="0"/>
              </w:rPr>
              <w:t>2.1</w:t>
            </w:r>
            <w:r w:rsidR="00563C78" w:rsidRPr="009E27EB">
              <w:rPr>
                <w:rStyle w:val="Strong"/>
                <w:b w:val="0"/>
              </w:rPr>
              <w:t xml:space="preserve"> PYs</w:t>
            </w:r>
            <w:r w:rsidR="00B24389" w:rsidRPr="009E27EB">
              <w:rPr>
                <w:rStyle w:val="Strong"/>
                <w:b w:val="0"/>
              </w:rPr>
              <w:t>.</w:t>
            </w:r>
            <w:r w:rsidR="00F07D14">
              <w:rPr>
                <w:rStyle w:val="Strong"/>
                <w:b w:val="0"/>
              </w:rPr>
              <w:t xml:space="preserve"> </w:t>
            </w:r>
          </w:p>
        </w:tc>
      </w:tr>
      <w:tr w:rsidR="00D22E6D" w:rsidTr="00F90D31">
        <w:trPr>
          <w:trHeight w:val="8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Pr="00F90D31" w:rsidRDefault="00D22E6D" w:rsidP="006E02DD">
            <w:pPr>
              <w:rPr>
                <w:rStyle w:val="Strong"/>
                <w:b w:val="0"/>
                <w:sz w:val="12"/>
                <w:szCs w:val="12"/>
              </w:rPr>
            </w:pPr>
          </w:p>
        </w:tc>
      </w:tr>
      <w:tr w:rsidR="00D22E6D" w:rsidTr="00F90D31">
        <w:tc>
          <w:tcPr>
            <w:tcW w:w="100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5F70" w:rsidRDefault="009E27EB" w:rsidP="00572047">
            <w:pPr>
              <w:tabs>
                <w:tab w:val="left" w:pos="1815"/>
              </w:tabs>
              <w:spacing w:after="120"/>
              <w:rPr>
                <w:rStyle w:val="Strong"/>
                <w:b w:val="0"/>
                <w:sz w:val="32"/>
              </w:rPr>
            </w:pPr>
            <w:r>
              <w:rPr>
                <w:rStyle w:val="Strong"/>
                <w:b w:val="0"/>
                <w:sz w:val="32"/>
              </w:rPr>
              <w:t>Key Efforts</w:t>
            </w:r>
          </w:p>
          <w:p w:rsidR="00193B67" w:rsidRDefault="00F32AE1" w:rsidP="00F32AE1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 w:rsidRPr="009E27EB">
              <w:rPr>
                <w:rStyle w:val="Strong"/>
                <w:b w:val="0"/>
              </w:rPr>
              <w:t xml:space="preserve">Require applicants </w:t>
            </w:r>
            <w:r w:rsidR="006C4264">
              <w:rPr>
                <w:rStyle w:val="Strong"/>
                <w:b w:val="0"/>
              </w:rPr>
              <w:t xml:space="preserve">to </w:t>
            </w:r>
            <w:r w:rsidRPr="009E27EB">
              <w:rPr>
                <w:rStyle w:val="Strong"/>
                <w:b w:val="0"/>
              </w:rPr>
              <w:t>propose the least environmentally damaging practicable altern</w:t>
            </w:r>
            <w:r w:rsidR="00F07D14">
              <w:rPr>
                <w:rStyle w:val="Strong"/>
                <w:b w:val="0"/>
              </w:rPr>
              <w:t xml:space="preserve">ative (LEDPA) for </w:t>
            </w:r>
            <w:r w:rsidR="00C05BEB">
              <w:rPr>
                <w:rStyle w:val="Strong"/>
                <w:b w:val="0"/>
              </w:rPr>
              <w:t>a</w:t>
            </w:r>
            <w:r w:rsidR="00F07D14">
              <w:rPr>
                <w:rStyle w:val="Strong"/>
                <w:b w:val="0"/>
              </w:rPr>
              <w:t xml:space="preserve"> project</w:t>
            </w:r>
            <w:r w:rsidR="00193B67">
              <w:rPr>
                <w:rStyle w:val="Strong"/>
                <w:b w:val="0"/>
              </w:rPr>
              <w:t xml:space="preserve">.  </w:t>
            </w:r>
          </w:p>
          <w:p w:rsidR="00F32AE1" w:rsidRPr="009E27EB" w:rsidRDefault="00193B67" w:rsidP="00F32AE1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</w:t>
            </w:r>
            <w:r w:rsidR="00C05BEB">
              <w:rPr>
                <w:rStyle w:val="Strong"/>
                <w:b w:val="0"/>
              </w:rPr>
              <w:t>ncourage applicants to avoid impacts</w:t>
            </w:r>
            <w:r w:rsidR="005C26AF">
              <w:rPr>
                <w:rStyle w:val="Strong"/>
                <w:b w:val="0"/>
              </w:rPr>
              <w:t xml:space="preserve"> to water resources; all unavoidable impacts </w:t>
            </w:r>
            <w:r w:rsidR="00C05BEB">
              <w:rPr>
                <w:rStyle w:val="Strong"/>
                <w:b w:val="0"/>
              </w:rPr>
              <w:t xml:space="preserve">require minimization </w:t>
            </w:r>
            <w:r w:rsidR="005C26AF">
              <w:rPr>
                <w:rStyle w:val="Strong"/>
                <w:b w:val="0"/>
              </w:rPr>
              <w:t>and then mitigation</w:t>
            </w:r>
            <w:r w:rsidR="009E27EB">
              <w:rPr>
                <w:rStyle w:val="Strong"/>
                <w:b w:val="0"/>
              </w:rPr>
              <w:t>.</w:t>
            </w:r>
          </w:p>
          <w:p w:rsidR="00F32AE1" w:rsidRPr="009E27EB" w:rsidRDefault="005672C8" w:rsidP="00F32AE1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Impose</w:t>
            </w:r>
            <w:r w:rsidRPr="009E27EB">
              <w:rPr>
                <w:rStyle w:val="Strong"/>
                <w:b w:val="0"/>
              </w:rPr>
              <w:t xml:space="preserve"> </w:t>
            </w:r>
            <w:r w:rsidR="006C4264">
              <w:rPr>
                <w:rStyle w:val="Strong"/>
                <w:b w:val="0"/>
              </w:rPr>
              <w:t>permit</w:t>
            </w:r>
            <w:r>
              <w:rPr>
                <w:rStyle w:val="Strong"/>
                <w:b w:val="0"/>
              </w:rPr>
              <w:t xml:space="preserve"> </w:t>
            </w:r>
            <w:r w:rsidR="00DF6C9A" w:rsidRPr="009E27EB">
              <w:rPr>
                <w:rStyle w:val="Strong"/>
                <w:b w:val="0"/>
              </w:rPr>
              <w:t xml:space="preserve">conditions that are </w:t>
            </w:r>
            <w:r w:rsidR="008A3B77" w:rsidRPr="009E27EB">
              <w:rPr>
                <w:rStyle w:val="Strong"/>
                <w:b w:val="0"/>
              </w:rPr>
              <w:t xml:space="preserve">enforceable </w:t>
            </w:r>
            <w:r w:rsidR="00DF6C9A" w:rsidRPr="009E27EB">
              <w:rPr>
                <w:rStyle w:val="Strong"/>
                <w:b w:val="0"/>
              </w:rPr>
              <w:t xml:space="preserve">and </w:t>
            </w:r>
            <w:r>
              <w:rPr>
                <w:rStyle w:val="Strong"/>
                <w:b w:val="0"/>
              </w:rPr>
              <w:t>trackable</w:t>
            </w:r>
            <w:r w:rsidR="00A66DBB" w:rsidRPr="009E27EB">
              <w:rPr>
                <w:rStyle w:val="Strong"/>
                <w:b w:val="0"/>
              </w:rPr>
              <w:t xml:space="preserve"> in</w:t>
            </w:r>
            <w:r w:rsidR="00DF6C9A" w:rsidRPr="009E27EB">
              <w:rPr>
                <w:rStyle w:val="Strong"/>
                <w:b w:val="0"/>
              </w:rPr>
              <w:t xml:space="preserve"> CIWQS</w:t>
            </w:r>
            <w:r w:rsidR="00A66DBB" w:rsidRPr="009E27EB">
              <w:rPr>
                <w:rStyle w:val="Strong"/>
                <w:b w:val="0"/>
              </w:rPr>
              <w:t xml:space="preserve"> for efficient compliance and enforcement</w:t>
            </w:r>
            <w:r w:rsidR="00F32AE1" w:rsidRPr="009E27EB">
              <w:rPr>
                <w:rStyle w:val="Strong"/>
                <w:b w:val="0"/>
              </w:rPr>
              <w:t>.</w:t>
            </w:r>
          </w:p>
          <w:p w:rsidR="00F32AE1" w:rsidRPr="009E27EB" w:rsidRDefault="005672C8" w:rsidP="007A38CD">
            <w:pPr>
              <w:pStyle w:val="ListParagraph"/>
              <w:numPr>
                <w:ilvl w:val="0"/>
                <w:numId w:val="6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</w:t>
            </w:r>
            <w:r w:rsidR="00F32AE1" w:rsidRPr="009E27EB">
              <w:rPr>
                <w:rStyle w:val="Strong"/>
                <w:b w:val="0"/>
              </w:rPr>
              <w:t xml:space="preserve">omment on environmental documents </w:t>
            </w:r>
            <w:r w:rsidR="007A38CD" w:rsidRPr="009E27EB">
              <w:rPr>
                <w:rStyle w:val="Strong"/>
                <w:b w:val="0"/>
              </w:rPr>
              <w:t>to ensure</w:t>
            </w:r>
            <w:r w:rsidR="00F32AE1" w:rsidRPr="009E27EB">
              <w:rPr>
                <w:rStyle w:val="Strong"/>
                <w:b w:val="0"/>
              </w:rPr>
              <w:t xml:space="preserve"> requirements of the </w:t>
            </w:r>
            <w:r>
              <w:rPr>
                <w:rStyle w:val="Strong"/>
                <w:b w:val="0"/>
              </w:rPr>
              <w:t>P</w:t>
            </w:r>
            <w:r w:rsidR="00F32AE1" w:rsidRPr="009E27EB">
              <w:rPr>
                <w:rStyle w:val="Strong"/>
                <w:b w:val="0"/>
              </w:rPr>
              <w:t xml:space="preserve">rogram, including </w:t>
            </w:r>
            <w:r>
              <w:rPr>
                <w:rStyle w:val="Strong"/>
                <w:b w:val="0"/>
              </w:rPr>
              <w:t>our core protection strategy (</w:t>
            </w:r>
            <w:r w:rsidR="00F32AE1" w:rsidRPr="009E27EB">
              <w:rPr>
                <w:rStyle w:val="Strong"/>
                <w:b w:val="0"/>
              </w:rPr>
              <w:t>avoid</w:t>
            </w:r>
            <w:r>
              <w:rPr>
                <w:rStyle w:val="Strong"/>
                <w:b w:val="0"/>
              </w:rPr>
              <w:t xml:space="preserve">, </w:t>
            </w:r>
            <w:r w:rsidR="00F32AE1" w:rsidRPr="009E27EB">
              <w:rPr>
                <w:rStyle w:val="Strong"/>
                <w:b w:val="0"/>
              </w:rPr>
              <w:t>minimiz</w:t>
            </w:r>
            <w:r>
              <w:rPr>
                <w:rStyle w:val="Strong"/>
                <w:b w:val="0"/>
              </w:rPr>
              <w:t xml:space="preserve">e, </w:t>
            </w:r>
            <w:r w:rsidR="00F32AE1" w:rsidRPr="009E27EB">
              <w:rPr>
                <w:rStyle w:val="Strong"/>
                <w:b w:val="0"/>
              </w:rPr>
              <w:t>mitigat</w:t>
            </w:r>
            <w:r>
              <w:rPr>
                <w:rStyle w:val="Strong"/>
                <w:b w:val="0"/>
              </w:rPr>
              <w:t>e)</w:t>
            </w:r>
            <w:r w:rsidR="00145520">
              <w:rPr>
                <w:rStyle w:val="Strong"/>
                <w:b w:val="0"/>
              </w:rPr>
              <w:t>,</w:t>
            </w:r>
            <w:r w:rsidR="00F32AE1" w:rsidRPr="009E27EB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LEDPA, </w:t>
            </w:r>
            <w:r w:rsidR="00A84CF3" w:rsidRPr="009E27EB">
              <w:rPr>
                <w:rStyle w:val="Strong"/>
                <w:b w:val="0"/>
              </w:rPr>
              <w:t xml:space="preserve">and </w:t>
            </w:r>
            <w:r w:rsidR="00145520">
              <w:rPr>
                <w:rStyle w:val="Strong"/>
                <w:b w:val="0"/>
              </w:rPr>
              <w:t>water resource</w:t>
            </w:r>
            <w:r w:rsidR="00145520" w:rsidRPr="009E27EB">
              <w:rPr>
                <w:rStyle w:val="Strong"/>
                <w:b w:val="0"/>
              </w:rPr>
              <w:t xml:space="preserve"> </w:t>
            </w:r>
            <w:r w:rsidR="00A84CF3" w:rsidRPr="009E27EB">
              <w:rPr>
                <w:rStyle w:val="Strong"/>
                <w:b w:val="0"/>
              </w:rPr>
              <w:t xml:space="preserve">issues </w:t>
            </w:r>
            <w:r w:rsidR="00F32AE1" w:rsidRPr="009E27EB">
              <w:rPr>
                <w:rStyle w:val="Strong"/>
                <w:b w:val="0"/>
              </w:rPr>
              <w:t xml:space="preserve">are clearly </w:t>
            </w:r>
            <w:r w:rsidR="00A84CF3" w:rsidRPr="009E27EB">
              <w:rPr>
                <w:rStyle w:val="Strong"/>
                <w:b w:val="0"/>
              </w:rPr>
              <w:t>explained</w:t>
            </w:r>
            <w:r w:rsidR="00BB20D4" w:rsidRPr="009E27EB">
              <w:rPr>
                <w:rStyle w:val="Strong"/>
                <w:b w:val="0"/>
              </w:rPr>
              <w:t xml:space="preserve"> and taken into consideratio</w:t>
            </w:r>
            <w:r>
              <w:rPr>
                <w:rStyle w:val="Strong"/>
                <w:b w:val="0"/>
              </w:rPr>
              <w:t>n</w:t>
            </w:r>
            <w:r w:rsidR="006C4264">
              <w:rPr>
                <w:rStyle w:val="Strong"/>
                <w:b w:val="0"/>
              </w:rPr>
              <w:t xml:space="preserve"> early on in project planning</w:t>
            </w:r>
            <w:r>
              <w:rPr>
                <w:rStyle w:val="Strong"/>
                <w:b w:val="0"/>
              </w:rPr>
              <w:t>.</w:t>
            </w:r>
          </w:p>
          <w:p w:rsidR="00FD4DC9" w:rsidRPr="00FD4DC9" w:rsidRDefault="00F32AE1" w:rsidP="008412B2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 w:rsidRPr="00FD4DC9">
              <w:rPr>
                <w:rStyle w:val="Strong"/>
                <w:b w:val="0"/>
              </w:rPr>
              <w:t xml:space="preserve">Inspect </w:t>
            </w:r>
            <w:r w:rsidR="005672C8" w:rsidRPr="00FD4DC9">
              <w:rPr>
                <w:rStyle w:val="Strong"/>
                <w:b w:val="0"/>
              </w:rPr>
              <w:t xml:space="preserve">project sites and mitigation areas </w:t>
            </w:r>
            <w:r w:rsidRPr="00FD4DC9">
              <w:rPr>
                <w:rStyle w:val="Strong"/>
                <w:b w:val="0"/>
              </w:rPr>
              <w:t xml:space="preserve">for compliance with </w:t>
            </w:r>
            <w:r w:rsidR="00254063" w:rsidRPr="00FD4DC9">
              <w:rPr>
                <w:rStyle w:val="Strong"/>
                <w:b w:val="0"/>
              </w:rPr>
              <w:t xml:space="preserve">permit </w:t>
            </w:r>
            <w:r w:rsidR="005672C8" w:rsidRPr="00FD4DC9">
              <w:rPr>
                <w:rStyle w:val="Strong"/>
                <w:b w:val="0"/>
              </w:rPr>
              <w:t>requirements</w:t>
            </w:r>
            <w:r w:rsidR="00EB77D7" w:rsidRPr="00FD4DC9">
              <w:rPr>
                <w:rStyle w:val="Strong"/>
                <w:b w:val="0"/>
              </w:rPr>
              <w:t>.</w:t>
            </w:r>
          </w:p>
          <w:p w:rsidR="00EB77D7" w:rsidRPr="00FD4DC9" w:rsidRDefault="00F32AE1" w:rsidP="008412B2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 w:rsidRPr="00FD4DC9">
              <w:rPr>
                <w:rStyle w:val="Strong"/>
                <w:b w:val="0"/>
              </w:rPr>
              <w:t xml:space="preserve">Continue to </w:t>
            </w:r>
            <w:r w:rsidR="00BB20D4" w:rsidRPr="00FD4DC9">
              <w:rPr>
                <w:rStyle w:val="Strong"/>
                <w:b w:val="0"/>
              </w:rPr>
              <w:t xml:space="preserve">assist and </w:t>
            </w:r>
            <w:r w:rsidRPr="00FD4DC9">
              <w:rPr>
                <w:rStyle w:val="Strong"/>
                <w:b w:val="0"/>
              </w:rPr>
              <w:t>engage in discussions with State Board on the statewide</w:t>
            </w:r>
            <w:r w:rsidR="00904CC2" w:rsidRPr="00FD4DC9">
              <w:rPr>
                <w:rStyle w:val="Strong"/>
                <w:b w:val="0"/>
              </w:rPr>
              <w:t xml:space="preserve"> Draft </w:t>
            </w:r>
            <w:r w:rsidR="00904CC2" w:rsidRPr="00FD4DC9">
              <w:rPr>
                <w:rFonts w:cs="Arial"/>
                <w:lang w:val="en"/>
              </w:rPr>
              <w:t>Procedures for Discharges of Dredged or Fill Material to Waters of the State</w:t>
            </w:r>
            <w:r w:rsidR="00EB77D7" w:rsidRPr="00FD4DC9">
              <w:rPr>
                <w:rFonts w:cs="Arial"/>
                <w:lang w:val="en"/>
              </w:rPr>
              <w:t>.</w:t>
            </w:r>
          </w:p>
          <w:p w:rsidR="009E27EB" w:rsidRPr="00EB77D7" w:rsidRDefault="009E27EB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 w:rsidRPr="00EB77D7">
              <w:rPr>
                <w:rStyle w:val="Strong"/>
                <w:b w:val="0"/>
              </w:rPr>
              <w:t>Require monitoring and reporting</w:t>
            </w:r>
            <w:r w:rsidR="00EB77D7">
              <w:rPr>
                <w:rStyle w:val="Strong"/>
                <w:b w:val="0"/>
              </w:rPr>
              <w:t>,</w:t>
            </w:r>
            <w:r w:rsidRPr="00EB77D7">
              <w:rPr>
                <w:rStyle w:val="Strong"/>
                <w:b w:val="0"/>
              </w:rPr>
              <w:t xml:space="preserve"> including use of California Rapid Assessment </w:t>
            </w:r>
            <w:r w:rsidR="00EB77D7">
              <w:rPr>
                <w:rStyle w:val="Strong"/>
                <w:b w:val="0"/>
              </w:rPr>
              <w:t xml:space="preserve">Method (CRAM) </w:t>
            </w:r>
            <w:r w:rsidRPr="00EB77D7">
              <w:rPr>
                <w:rStyle w:val="Strong"/>
                <w:b w:val="0"/>
              </w:rPr>
              <w:t xml:space="preserve">protocols and </w:t>
            </w:r>
            <w:r w:rsidR="00F67CA4">
              <w:rPr>
                <w:rStyle w:val="Strong"/>
                <w:b w:val="0"/>
              </w:rPr>
              <w:t>EcoAtlas</w:t>
            </w:r>
            <w:r w:rsidR="005672C8">
              <w:rPr>
                <w:rStyle w:val="Strong"/>
                <w:b w:val="0"/>
              </w:rPr>
              <w:t>.</w:t>
            </w:r>
          </w:p>
          <w:p w:rsidR="009E27EB" w:rsidRPr="00341E4D" w:rsidRDefault="009E27EB" w:rsidP="009E27EB">
            <w:pPr>
              <w:pStyle w:val="ListParagraph"/>
              <w:numPr>
                <w:ilvl w:val="0"/>
                <w:numId w:val="5"/>
              </w:num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</w:rPr>
              <w:t>Development of general orders for L</w:t>
            </w:r>
            <w:r w:rsidR="00F07D14">
              <w:rPr>
                <w:rStyle w:val="Strong"/>
                <w:b w:val="0"/>
              </w:rPr>
              <w:t>os Angeles Department of Water and Power (L</w:t>
            </w:r>
            <w:r>
              <w:rPr>
                <w:rStyle w:val="Strong"/>
                <w:b w:val="0"/>
              </w:rPr>
              <w:t>ADWP</w:t>
            </w:r>
            <w:r w:rsidR="00F07D14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t xml:space="preserve"> and San Bernardino County</w:t>
            </w:r>
            <w:r w:rsidR="00CC75A7">
              <w:rPr>
                <w:rStyle w:val="Strong"/>
                <w:b w:val="0"/>
              </w:rPr>
              <w:t>.</w:t>
            </w:r>
          </w:p>
        </w:tc>
      </w:tr>
    </w:tbl>
    <w:p w:rsidR="0089559A" w:rsidRDefault="0089559A"/>
    <w:p w:rsidR="0089559A" w:rsidRDefault="0089559A"/>
    <w:p w:rsidR="0089559A" w:rsidRDefault="0089559A"/>
    <w:p w:rsidR="00F524AD" w:rsidRDefault="00F524AD"/>
    <w:p w:rsidR="00F524AD" w:rsidRDefault="00F524AD"/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D22E6D" w:rsidTr="00904CC2">
        <w:trPr>
          <w:trHeight w:val="5795"/>
        </w:trPr>
        <w:tc>
          <w:tcPr>
            <w:tcW w:w="98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4DC9" w:rsidRDefault="00FD4DC9" w:rsidP="001672A1">
            <w:pPr>
              <w:tabs>
                <w:tab w:val="left" w:pos="325"/>
                <w:tab w:val="left" w:pos="1815"/>
              </w:tabs>
              <w:spacing w:after="120"/>
              <w:rPr>
                <w:rStyle w:val="Strong"/>
                <w:b w:val="0"/>
                <w:sz w:val="32"/>
              </w:rPr>
            </w:pPr>
            <w:r>
              <w:rPr>
                <w:rStyle w:val="Strong"/>
                <w:b w:val="0"/>
                <w:sz w:val="32"/>
              </w:rPr>
              <w:lastRenderedPageBreak/>
              <w:t>Accomplishments</w:t>
            </w:r>
          </w:p>
          <w:p w:rsidR="001672A1" w:rsidRDefault="005B0371" w:rsidP="005B0371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</w:rPr>
            </w:pPr>
            <w:r w:rsidRPr="00522A90">
              <w:rPr>
                <w:rStyle w:val="Strong"/>
                <w:b w:val="0"/>
              </w:rPr>
              <w:t xml:space="preserve">Issued </w:t>
            </w:r>
            <w:r w:rsidR="00987DB4" w:rsidRPr="00522A90">
              <w:rPr>
                <w:rStyle w:val="Strong"/>
                <w:b w:val="0"/>
              </w:rPr>
              <w:t xml:space="preserve">23 new </w:t>
            </w:r>
            <w:r w:rsidRPr="00522A90">
              <w:rPr>
                <w:rStyle w:val="Strong"/>
                <w:b w:val="0"/>
              </w:rPr>
              <w:t>dredge and/or fill permits</w:t>
            </w:r>
            <w:r w:rsidR="008D2909" w:rsidRPr="00522A90">
              <w:rPr>
                <w:rStyle w:val="Strong"/>
                <w:b w:val="0"/>
              </w:rPr>
              <w:t xml:space="preserve"> (</w:t>
            </w:r>
            <w:r w:rsidR="00987DB4" w:rsidRPr="00522A90">
              <w:rPr>
                <w:rStyle w:val="Strong"/>
                <w:b w:val="0"/>
              </w:rPr>
              <w:t>13</w:t>
            </w:r>
            <w:r w:rsidR="00F93C0A" w:rsidRPr="00522A90">
              <w:rPr>
                <w:rStyle w:val="Strong"/>
                <w:b w:val="0"/>
              </w:rPr>
              <w:t xml:space="preserve"> </w:t>
            </w:r>
            <w:r w:rsidR="00E7328E" w:rsidRPr="00522A90">
              <w:rPr>
                <w:rStyle w:val="Strong"/>
                <w:b w:val="0"/>
              </w:rPr>
              <w:t>W</w:t>
            </w:r>
            <w:r w:rsidR="00904CC2" w:rsidRPr="00522A90">
              <w:rPr>
                <w:rStyle w:val="Strong"/>
                <w:b w:val="0"/>
              </w:rPr>
              <w:t>ater Quality Certifications</w:t>
            </w:r>
            <w:r w:rsidR="00987DB4" w:rsidRPr="00522A90">
              <w:rPr>
                <w:rStyle w:val="Strong"/>
                <w:b w:val="0"/>
              </w:rPr>
              <w:t xml:space="preserve"> (WQC)</w:t>
            </w:r>
            <w:r w:rsidR="00E7328E" w:rsidRPr="00522A90">
              <w:rPr>
                <w:rStyle w:val="Strong"/>
                <w:b w:val="0"/>
              </w:rPr>
              <w:t xml:space="preserve">, </w:t>
            </w:r>
          </w:p>
          <w:p w:rsidR="001672A1" w:rsidRDefault="00987DB4" w:rsidP="001672A1">
            <w:pPr>
              <w:ind w:left="415"/>
              <w:rPr>
                <w:rStyle w:val="Strong"/>
                <w:b w:val="0"/>
              </w:rPr>
            </w:pPr>
            <w:r w:rsidRPr="001672A1">
              <w:rPr>
                <w:rStyle w:val="Strong"/>
                <w:b w:val="0"/>
              </w:rPr>
              <w:t xml:space="preserve">6 </w:t>
            </w:r>
            <w:r w:rsidR="00904CC2" w:rsidRPr="001672A1">
              <w:rPr>
                <w:rStyle w:val="Strong"/>
                <w:b w:val="0"/>
              </w:rPr>
              <w:t>Notices of Applicability for enrollment in WDRs</w:t>
            </w:r>
            <w:r w:rsidR="00D10616" w:rsidRPr="001672A1">
              <w:rPr>
                <w:rStyle w:val="Strong"/>
                <w:b w:val="0"/>
              </w:rPr>
              <w:t xml:space="preserve"> for impacts to State waters, </w:t>
            </w:r>
            <w:r w:rsidRPr="001672A1">
              <w:rPr>
                <w:rStyle w:val="Strong"/>
                <w:b w:val="0"/>
              </w:rPr>
              <w:t>and</w:t>
            </w:r>
          </w:p>
          <w:p w:rsidR="00BE5C96" w:rsidRPr="001672A1" w:rsidRDefault="00987DB4" w:rsidP="001672A1">
            <w:pPr>
              <w:ind w:left="415"/>
              <w:rPr>
                <w:rStyle w:val="Strong"/>
                <w:b w:val="0"/>
              </w:rPr>
            </w:pPr>
            <w:r w:rsidRPr="001672A1">
              <w:rPr>
                <w:rStyle w:val="Strong"/>
                <w:b w:val="0"/>
              </w:rPr>
              <w:t>4</w:t>
            </w:r>
            <w:r w:rsidR="008D2909" w:rsidRPr="001672A1">
              <w:rPr>
                <w:rStyle w:val="Strong"/>
                <w:b w:val="0"/>
              </w:rPr>
              <w:t xml:space="preserve"> </w:t>
            </w:r>
            <w:r w:rsidR="00D10616" w:rsidRPr="001672A1">
              <w:rPr>
                <w:rStyle w:val="Strong"/>
                <w:b w:val="0"/>
              </w:rPr>
              <w:t xml:space="preserve">General Order </w:t>
            </w:r>
            <w:r w:rsidR="00904CC2" w:rsidRPr="001672A1">
              <w:rPr>
                <w:rStyle w:val="Strong"/>
                <w:b w:val="0"/>
              </w:rPr>
              <w:t>enrollments</w:t>
            </w:r>
            <w:r w:rsidR="00D10616" w:rsidRPr="001672A1">
              <w:rPr>
                <w:rStyle w:val="Strong"/>
                <w:b w:val="0"/>
              </w:rPr>
              <w:t>)</w:t>
            </w:r>
            <w:r w:rsidR="005B0371" w:rsidRPr="001672A1">
              <w:rPr>
                <w:rStyle w:val="Strong"/>
                <w:b w:val="0"/>
              </w:rPr>
              <w:t>.</w:t>
            </w:r>
            <w:r w:rsidR="006B6F77" w:rsidRPr="001672A1">
              <w:rPr>
                <w:rStyle w:val="Strong"/>
                <w:b w:val="0"/>
              </w:rPr>
              <w:t xml:space="preserve"> </w:t>
            </w:r>
          </w:p>
          <w:p w:rsidR="009210FF" w:rsidRPr="00522A90" w:rsidRDefault="009210FF" w:rsidP="005B0371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</w:rPr>
            </w:pPr>
            <w:r w:rsidRPr="00522A90">
              <w:rPr>
                <w:rStyle w:val="Strong"/>
                <w:b w:val="0"/>
              </w:rPr>
              <w:t xml:space="preserve">Actively processing 30 applications for </w:t>
            </w:r>
            <w:r w:rsidR="008D46C9" w:rsidRPr="00522A90">
              <w:rPr>
                <w:rStyle w:val="Strong"/>
                <w:b w:val="0"/>
              </w:rPr>
              <w:t xml:space="preserve">new </w:t>
            </w:r>
            <w:r w:rsidRPr="00522A90">
              <w:rPr>
                <w:rStyle w:val="Strong"/>
                <w:b w:val="0"/>
              </w:rPr>
              <w:t>dredge and/or fill permits.</w:t>
            </w:r>
          </w:p>
          <w:p w:rsidR="005B0371" w:rsidRPr="00522A90" w:rsidRDefault="005B0371" w:rsidP="005B0371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</w:rPr>
            </w:pPr>
            <w:r w:rsidRPr="00522A90">
              <w:rPr>
                <w:rStyle w:val="Strong"/>
                <w:b w:val="0"/>
              </w:rPr>
              <w:t xml:space="preserve">Performed </w:t>
            </w:r>
            <w:r w:rsidR="00987DB4" w:rsidRPr="00522A90">
              <w:rPr>
                <w:rStyle w:val="Strong"/>
                <w:b w:val="0"/>
              </w:rPr>
              <w:t>1</w:t>
            </w:r>
            <w:r w:rsidR="00DA64C4" w:rsidRPr="00522A90">
              <w:rPr>
                <w:rStyle w:val="Strong"/>
                <w:b w:val="0"/>
              </w:rPr>
              <w:t>5</w:t>
            </w:r>
            <w:r w:rsidR="00987DB4" w:rsidRPr="00522A90">
              <w:rPr>
                <w:rStyle w:val="Strong"/>
                <w:b w:val="0"/>
              </w:rPr>
              <w:t xml:space="preserve"> </w:t>
            </w:r>
            <w:r w:rsidRPr="00522A90">
              <w:rPr>
                <w:rStyle w:val="Strong"/>
                <w:b w:val="0"/>
              </w:rPr>
              <w:t>inspections.</w:t>
            </w:r>
          </w:p>
          <w:p w:rsidR="00C1363B" w:rsidRDefault="00E7328E" w:rsidP="005B0371">
            <w:pPr>
              <w:pStyle w:val="ListParagraph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C1363B">
              <w:rPr>
                <w:bCs/>
              </w:rPr>
              <w:t xml:space="preserve">Completed </w:t>
            </w:r>
            <w:r w:rsidR="00987DB4" w:rsidRPr="00C1363B">
              <w:rPr>
                <w:bCs/>
              </w:rPr>
              <w:t xml:space="preserve">2 </w:t>
            </w:r>
            <w:r w:rsidR="00C94697" w:rsidRPr="00C1363B">
              <w:rPr>
                <w:bCs/>
              </w:rPr>
              <w:t>informal enforcement actions for non-compliance with permit conditions.</w:t>
            </w:r>
          </w:p>
          <w:p w:rsidR="00325103" w:rsidRPr="00C1363B" w:rsidRDefault="00325103" w:rsidP="005B0371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</w:rPr>
            </w:pPr>
            <w:r w:rsidRPr="00C1363B">
              <w:rPr>
                <w:rStyle w:val="Strong"/>
                <w:b w:val="0"/>
              </w:rPr>
              <w:t xml:space="preserve">Reviewed and commented on </w:t>
            </w:r>
            <w:r w:rsidR="00522A90" w:rsidRPr="00C1363B">
              <w:rPr>
                <w:rStyle w:val="Strong"/>
                <w:b w:val="0"/>
              </w:rPr>
              <w:t>nearly 80</w:t>
            </w:r>
            <w:r w:rsidR="00C1363B">
              <w:rPr>
                <w:rStyle w:val="Strong"/>
                <w:b w:val="0"/>
              </w:rPr>
              <w:t xml:space="preserve"> environmental</w:t>
            </w:r>
            <w:r w:rsidR="007A30A2">
              <w:rPr>
                <w:rStyle w:val="Strong"/>
                <w:b w:val="0"/>
              </w:rPr>
              <w:t xml:space="preserve"> documents</w:t>
            </w:r>
            <w:bookmarkStart w:id="0" w:name="_GoBack"/>
            <w:bookmarkEnd w:id="0"/>
          </w:p>
          <w:p w:rsidR="00001CFD" w:rsidRPr="00522A90" w:rsidRDefault="00001CFD" w:rsidP="00001CFD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Lead Agency for </w:t>
            </w:r>
            <w:r w:rsidRPr="00522A90">
              <w:rPr>
                <w:rStyle w:val="Strong"/>
                <w:b w:val="0"/>
              </w:rPr>
              <w:t xml:space="preserve">CEQA compliance </w:t>
            </w:r>
            <w:r>
              <w:rPr>
                <w:rStyle w:val="Strong"/>
                <w:b w:val="0"/>
              </w:rPr>
              <w:t>of</w:t>
            </w:r>
            <w:r w:rsidRPr="00522A90">
              <w:rPr>
                <w:rStyle w:val="Strong"/>
                <w:b w:val="0"/>
              </w:rPr>
              <w:t xml:space="preserve"> four restoration projects: Pine Creek Restoration, Sierra County Sardine Meadow Restoration, Mono County Sardine Meadow Restoration, and Sierra County Dry Creek Restoration. </w:t>
            </w:r>
          </w:p>
          <w:p w:rsidR="0087467F" w:rsidRPr="00522A90" w:rsidRDefault="009E27EB" w:rsidP="005B0371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</w:rPr>
            </w:pPr>
            <w:r w:rsidRPr="00522A90">
              <w:rPr>
                <w:rStyle w:val="Strong"/>
                <w:b w:val="0"/>
              </w:rPr>
              <w:t xml:space="preserve">Progress </w:t>
            </w:r>
            <w:r w:rsidR="0087467F" w:rsidRPr="00522A90">
              <w:rPr>
                <w:rStyle w:val="Strong"/>
                <w:b w:val="0"/>
              </w:rPr>
              <w:t>toward</w:t>
            </w:r>
            <w:r w:rsidR="00F07D14">
              <w:rPr>
                <w:rStyle w:val="Strong"/>
                <w:b w:val="0"/>
              </w:rPr>
              <w:t>s</w:t>
            </w:r>
            <w:r w:rsidR="0087467F" w:rsidRPr="00522A90">
              <w:rPr>
                <w:rStyle w:val="Strong"/>
                <w:b w:val="0"/>
              </w:rPr>
              <w:t xml:space="preserve"> a</w:t>
            </w:r>
            <w:r w:rsidR="002B2149" w:rsidRPr="00522A90">
              <w:rPr>
                <w:rStyle w:val="Strong"/>
                <w:b w:val="0"/>
              </w:rPr>
              <w:t xml:space="preserve"> long-term, </w:t>
            </w:r>
            <w:r w:rsidR="0087467F" w:rsidRPr="00522A90">
              <w:rPr>
                <w:rStyle w:val="Strong"/>
                <w:b w:val="0"/>
              </w:rPr>
              <w:t>multi-year WQC for</w:t>
            </w:r>
            <w:r w:rsidRPr="00522A90">
              <w:rPr>
                <w:rStyle w:val="Strong"/>
                <w:b w:val="0"/>
              </w:rPr>
              <w:t xml:space="preserve"> LADWP activities</w:t>
            </w:r>
            <w:r w:rsidR="0087467F" w:rsidRPr="00522A90">
              <w:rPr>
                <w:rStyle w:val="Strong"/>
                <w:b w:val="0"/>
              </w:rPr>
              <w:t xml:space="preserve"> in Inyo and Mono counties. </w:t>
            </w:r>
            <w:r w:rsidRPr="00522A90">
              <w:rPr>
                <w:rStyle w:val="Strong"/>
                <w:b w:val="0"/>
              </w:rPr>
              <w:t>M</w:t>
            </w:r>
            <w:r w:rsidR="0087467F" w:rsidRPr="00522A90">
              <w:rPr>
                <w:rStyle w:val="Strong"/>
                <w:b w:val="0"/>
              </w:rPr>
              <w:t xml:space="preserve">eetings are held quarterly to </w:t>
            </w:r>
            <w:r w:rsidRPr="00522A90">
              <w:rPr>
                <w:rStyle w:val="Strong"/>
                <w:b w:val="0"/>
              </w:rPr>
              <w:t xml:space="preserve">develop CEQA document and </w:t>
            </w:r>
            <w:r w:rsidR="0087467F" w:rsidRPr="00522A90">
              <w:rPr>
                <w:rStyle w:val="Strong"/>
                <w:b w:val="0"/>
              </w:rPr>
              <w:t>discuss planned maintenance needs</w:t>
            </w:r>
            <w:r w:rsidR="00EB77D7" w:rsidRPr="00522A90">
              <w:rPr>
                <w:rStyle w:val="Strong"/>
                <w:b w:val="0"/>
              </w:rPr>
              <w:t>;</w:t>
            </w:r>
            <w:r w:rsidR="0087467F" w:rsidRPr="00522A90">
              <w:rPr>
                <w:rStyle w:val="Strong"/>
                <w:b w:val="0"/>
              </w:rPr>
              <w:t xml:space="preserve"> </w:t>
            </w:r>
            <w:r w:rsidR="00C1363B">
              <w:rPr>
                <w:rStyle w:val="Strong"/>
                <w:b w:val="0"/>
              </w:rPr>
              <w:t xml:space="preserve">site-specific </w:t>
            </w:r>
            <w:r w:rsidR="0087467F" w:rsidRPr="00522A90">
              <w:rPr>
                <w:rStyle w:val="Strong"/>
                <w:b w:val="0"/>
              </w:rPr>
              <w:t>permits are issued on an as-needed basis.</w:t>
            </w:r>
          </w:p>
          <w:p w:rsidR="0087467F" w:rsidRPr="00522A90" w:rsidRDefault="00EB77D7" w:rsidP="0087467F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</w:rPr>
            </w:pPr>
            <w:r w:rsidRPr="00522A90">
              <w:rPr>
                <w:rStyle w:val="Strong"/>
                <w:b w:val="0"/>
              </w:rPr>
              <w:t>P</w:t>
            </w:r>
            <w:r w:rsidR="000E0CDA" w:rsidRPr="00522A90">
              <w:rPr>
                <w:rStyle w:val="Strong"/>
                <w:b w:val="0"/>
              </w:rPr>
              <w:t xml:space="preserve">rogress towards </w:t>
            </w:r>
            <w:r w:rsidR="0087467F" w:rsidRPr="00522A90">
              <w:rPr>
                <w:rStyle w:val="Strong"/>
                <w:b w:val="0"/>
              </w:rPr>
              <w:t>the</w:t>
            </w:r>
            <w:r w:rsidR="00F07D14">
              <w:rPr>
                <w:rStyle w:val="Strong"/>
                <w:b w:val="0"/>
              </w:rPr>
              <w:t xml:space="preserve"> development of the </w:t>
            </w:r>
            <w:r w:rsidR="0087467F" w:rsidRPr="00522A90">
              <w:rPr>
                <w:rStyle w:val="Strong"/>
                <w:b w:val="0"/>
              </w:rPr>
              <w:t xml:space="preserve">Mojave River Watershed Mitigation Bank in the Mojave </w:t>
            </w:r>
            <w:r w:rsidR="0087727C" w:rsidRPr="00522A90">
              <w:rPr>
                <w:rStyle w:val="Strong"/>
                <w:b w:val="0"/>
              </w:rPr>
              <w:t>w</w:t>
            </w:r>
            <w:r w:rsidR="0087467F" w:rsidRPr="00522A90">
              <w:rPr>
                <w:rStyle w:val="Strong"/>
                <w:b w:val="0"/>
              </w:rPr>
              <w:t>atershed</w:t>
            </w:r>
            <w:r w:rsidR="00F07D14">
              <w:rPr>
                <w:rStyle w:val="Strong"/>
                <w:b w:val="0"/>
              </w:rPr>
              <w:t xml:space="preserve"> in collaboration with the United States Army Corps of Engineers, United State</w:t>
            </w:r>
            <w:r w:rsidR="006E2317">
              <w:rPr>
                <w:rStyle w:val="Strong"/>
                <w:b w:val="0"/>
              </w:rPr>
              <w:t>s</w:t>
            </w:r>
            <w:r w:rsidR="00F07D14">
              <w:rPr>
                <w:rStyle w:val="Strong"/>
                <w:b w:val="0"/>
              </w:rPr>
              <w:t xml:space="preserve"> Environmental Protection Agency, the California Department of Fish and Wildlife, and the bank sponsor Desert Environmental Resources, Inc.</w:t>
            </w:r>
          </w:p>
          <w:p w:rsidR="00904CC2" w:rsidRPr="00522A90" w:rsidRDefault="000A2DF8" w:rsidP="000E0CDA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  <w:sz w:val="22"/>
              </w:rPr>
            </w:pPr>
            <w:r>
              <w:rPr>
                <w:rStyle w:val="Strong"/>
                <w:b w:val="0"/>
              </w:rPr>
              <w:t>Ongoing</w:t>
            </w:r>
            <w:r w:rsidR="000E0CDA" w:rsidRPr="00522A90">
              <w:rPr>
                <w:rStyle w:val="Strong"/>
                <w:b w:val="0"/>
              </w:rPr>
              <w:t xml:space="preserve"> training </w:t>
            </w:r>
            <w:r w:rsidR="00522A90" w:rsidRPr="00522A90">
              <w:rPr>
                <w:rStyle w:val="Strong"/>
                <w:b w:val="0"/>
              </w:rPr>
              <w:t>of staff and dischargers</w:t>
            </w:r>
            <w:r w:rsidR="000E0CDA" w:rsidRPr="00522A90">
              <w:rPr>
                <w:rStyle w:val="Strong"/>
                <w:b w:val="0"/>
              </w:rPr>
              <w:t xml:space="preserve"> </w:t>
            </w:r>
            <w:r w:rsidR="00987DB4" w:rsidRPr="00522A90">
              <w:rPr>
                <w:rStyle w:val="Strong"/>
                <w:b w:val="0"/>
              </w:rPr>
              <w:t xml:space="preserve">for </w:t>
            </w:r>
            <w:r w:rsidR="00DA64C4" w:rsidRPr="00522A90">
              <w:rPr>
                <w:rStyle w:val="Strong"/>
                <w:b w:val="0"/>
              </w:rPr>
              <w:t xml:space="preserve">use of </w:t>
            </w:r>
            <w:r w:rsidR="00E00C55" w:rsidRPr="00522A90">
              <w:rPr>
                <w:rStyle w:val="Strong"/>
                <w:b w:val="0"/>
              </w:rPr>
              <w:t>CRAM</w:t>
            </w:r>
            <w:r w:rsidR="000E0CDA" w:rsidRPr="00522A90">
              <w:rPr>
                <w:rStyle w:val="Strong"/>
                <w:b w:val="0"/>
              </w:rPr>
              <w:t xml:space="preserve"> protocols</w:t>
            </w:r>
            <w:r w:rsidR="00E00C55" w:rsidRPr="00522A90">
              <w:rPr>
                <w:rStyle w:val="Strong"/>
                <w:b w:val="0"/>
              </w:rPr>
              <w:t xml:space="preserve"> and EcoAtlas</w:t>
            </w:r>
            <w:r w:rsidR="000E0CDA" w:rsidRPr="00522A90">
              <w:rPr>
                <w:rStyle w:val="Strong"/>
                <w:b w:val="0"/>
              </w:rPr>
              <w:t>.</w:t>
            </w:r>
          </w:p>
          <w:p w:rsidR="008C2523" w:rsidRPr="00F93C0A" w:rsidRDefault="000A2DF8" w:rsidP="00C1363B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Strong"/>
                <w:b w:val="0"/>
                <w:sz w:val="22"/>
              </w:rPr>
            </w:pPr>
            <w:r>
              <w:rPr>
                <w:rStyle w:val="Strong"/>
                <w:b w:val="0"/>
              </w:rPr>
              <w:t>Ongoing</w:t>
            </w:r>
            <w:r w:rsidR="00904CC2" w:rsidRPr="00522A90">
              <w:rPr>
                <w:rStyle w:val="Strong"/>
                <w:b w:val="0"/>
              </w:rPr>
              <w:t xml:space="preserve"> inspection and technical </w:t>
            </w:r>
            <w:r w:rsidR="00C1363B">
              <w:rPr>
                <w:rStyle w:val="Strong"/>
                <w:b w:val="0"/>
              </w:rPr>
              <w:t>input</w:t>
            </w:r>
            <w:r w:rsidR="00904CC2" w:rsidRPr="00522A90">
              <w:rPr>
                <w:rStyle w:val="Strong"/>
                <w:b w:val="0"/>
              </w:rPr>
              <w:t xml:space="preserve"> on the Upper Truckee River Restoration effort</w:t>
            </w:r>
            <w:r w:rsidR="00522A90" w:rsidRPr="00522A90">
              <w:rPr>
                <w:rStyle w:val="Strong"/>
                <w:b w:val="0"/>
              </w:rPr>
              <w:t>s</w:t>
            </w:r>
            <w:r w:rsidR="00904CC2" w:rsidRPr="00522A90">
              <w:rPr>
                <w:rStyle w:val="Strong"/>
                <w:b w:val="0"/>
              </w:rPr>
              <w:t>.</w:t>
            </w:r>
            <w:r w:rsidR="000E0CDA" w:rsidRPr="001B3890">
              <w:rPr>
                <w:rStyle w:val="Strong"/>
                <w:b w:val="0"/>
              </w:rPr>
              <w:t xml:space="preserve"> </w:t>
            </w:r>
          </w:p>
        </w:tc>
      </w:tr>
      <w:tr w:rsidR="00D22E6D" w:rsidRPr="00064615" w:rsidTr="000768EA">
        <w:tc>
          <w:tcPr>
            <w:tcW w:w="9878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22E6D" w:rsidRPr="00F90D31" w:rsidRDefault="00D22E6D" w:rsidP="006E02DD">
            <w:pPr>
              <w:rPr>
                <w:rStyle w:val="Strong"/>
                <w:b w:val="0"/>
                <w:sz w:val="12"/>
                <w:szCs w:val="12"/>
              </w:rPr>
            </w:pPr>
          </w:p>
        </w:tc>
      </w:tr>
      <w:tr w:rsidR="00D22E6D" w:rsidTr="000768EA">
        <w:tc>
          <w:tcPr>
            <w:tcW w:w="98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4DC9" w:rsidRDefault="00FD4DC9" w:rsidP="00FD4DC9">
            <w:pPr>
              <w:tabs>
                <w:tab w:val="left" w:pos="1815"/>
              </w:tabs>
              <w:spacing w:after="120"/>
              <w:rPr>
                <w:rStyle w:val="Strong"/>
                <w:b w:val="0"/>
                <w:sz w:val="32"/>
              </w:rPr>
            </w:pPr>
            <w:r>
              <w:rPr>
                <w:rStyle w:val="Strong"/>
                <w:b w:val="0"/>
                <w:sz w:val="32"/>
              </w:rPr>
              <w:t>Performance Targets for Fiscal Year 2017-2018</w:t>
            </w:r>
          </w:p>
          <w:p w:rsidR="00FD4DC9" w:rsidRPr="00FD4DC9" w:rsidRDefault="00BB5039" w:rsidP="00FD4DC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</w:rPr>
            </w:pPr>
            <w:r w:rsidRPr="00EC306A">
              <w:rPr>
                <w:rStyle w:val="Strong"/>
                <w:b w:val="0"/>
              </w:rPr>
              <w:t xml:space="preserve">State Board, in collaboration with the </w:t>
            </w:r>
            <w:r w:rsidR="00522A90">
              <w:rPr>
                <w:rStyle w:val="Strong"/>
                <w:b w:val="0"/>
              </w:rPr>
              <w:t xml:space="preserve">nine </w:t>
            </w:r>
            <w:r w:rsidRPr="00EC306A">
              <w:rPr>
                <w:rStyle w:val="Strong"/>
                <w:b w:val="0"/>
              </w:rPr>
              <w:t xml:space="preserve">regional boards, is currently working on the development </w:t>
            </w:r>
            <w:r w:rsidR="000B3681" w:rsidRPr="00EC306A">
              <w:rPr>
                <w:rStyle w:val="Strong"/>
                <w:b w:val="0"/>
              </w:rPr>
              <w:t xml:space="preserve">of </w:t>
            </w:r>
            <w:r w:rsidRPr="00EC306A">
              <w:rPr>
                <w:rStyle w:val="Strong"/>
                <w:b w:val="0"/>
              </w:rPr>
              <w:t>a set of statewide performance targets for the Program</w:t>
            </w:r>
            <w:r w:rsidRPr="008D2909">
              <w:rPr>
                <w:rStyle w:val="Strong"/>
                <w:b w:val="0"/>
                <w:sz w:val="23"/>
                <w:szCs w:val="23"/>
              </w:rPr>
              <w:t>.</w:t>
            </w:r>
          </w:p>
        </w:tc>
      </w:tr>
      <w:tr w:rsidR="00D22E6D" w:rsidRPr="00064615" w:rsidTr="00F807AA">
        <w:tc>
          <w:tcPr>
            <w:tcW w:w="987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22E6D" w:rsidRPr="00F90D31" w:rsidRDefault="00D22E6D" w:rsidP="006E02DD">
            <w:pPr>
              <w:rPr>
                <w:rStyle w:val="Strong"/>
                <w:b w:val="0"/>
                <w:sz w:val="12"/>
                <w:szCs w:val="12"/>
              </w:rPr>
            </w:pPr>
          </w:p>
        </w:tc>
      </w:tr>
      <w:tr w:rsidR="00F807AA" w:rsidRPr="00397597" w:rsidTr="006E23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/>
        </w:trPr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B6259" w:rsidRPr="00BB6259" w:rsidRDefault="00BB6259" w:rsidP="00BB6259">
            <w:pPr>
              <w:tabs>
                <w:tab w:val="left" w:pos="1815"/>
              </w:tabs>
              <w:rPr>
                <w:rStyle w:val="Strong"/>
                <w:b w:val="0"/>
                <w:sz w:val="8"/>
                <w:szCs w:val="8"/>
              </w:rPr>
            </w:pPr>
          </w:p>
          <w:p w:rsidR="00FD4DC9" w:rsidRDefault="00ED6ED2" w:rsidP="00FD4DC9">
            <w:pPr>
              <w:tabs>
                <w:tab w:val="left" w:pos="1815"/>
              </w:tabs>
              <w:spacing w:after="120"/>
              <w:rPr>
                <w:rStyle w:val="Strong"/>
                <w:b w:val="0"/>
                <w:sz w:val="32"/>
              </w:rPr>
            </w:pPr>
            <w:r>
              <w:rPr>
                <w:rStyle w:val="Strong"/>
                <w:b w:val="0"/>
                <w:sz w:val="32"/>
              </w:rPr>
              <w:t>Unad</w:t>
            </w:r>
            <w:r w:rsidR="00F07D14">
              <w:rPr>
                <w:rStyle w:val="Strong"/>
                <w:b w:val="0"/>
                <w:sz w:val="32"/>
              </w:rPr>
              <w:t>d</w:t>
            </w:r>
            <w:r>
              <w:rPr>
                <w:rStyle w:val="Strong"/>
                <w:b w:val="0"/>
                <w:sz w:val="32"/>
              </w:rPr>
              <w:t>ressed Work</w:t>
            </w:r>
          </w:p>
          <w:p w:rsidR="00341E4D" w:rsidRPr="00FD4DC9" w:rsidRDefault="007A38CD" w:rsidP="00FD4DC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FD4DC9">
              <w:rPr>
                <w:rStyle w:val="Strong"/>
                <w:b w:val="0"/>
              </w:rPr>
              <w:t xml:space="preserve">More than </w:t>
            </w:r>
            <w:r w:rsidR="00F67CA4" w:rsidRPr="00FD4DC9">
              <w:rPr>
                <w:rStyle w:val="Strong"/>
                <w:b w:val="0"/>
              </w:rPr>
              <w:t xml:space="preserve">two-thirds </w:t>
            </w:r>
            <w:r w:rsidRPr="00FD4DC9">
              <w:rPr>
                <w:rStyle w:val="Strong"/>
                <w:b w:val="0"/>
              </w:rPr>
              <w:t xml:space="preserve">of permitted sites </w:t>
            </w:r>
            <w:r w:rsidR="00E00C55" w:rsidRPr="00FD4DC9">
              <w:rPr>
                <w:rStyle w:val="Strong"/>
                <w:b w:val="0"/>
              </w:rPr>
              <w:t>go un</w:t>
            </w:r>
            <w:r w:rsidRPr="00FD4DC9">
              <w:rPr>
                <w:rStyle w:val="Strong"/>
                <w:b w:val="0"/>
              </w:rPr>
              <w:t>inspected</w:t>
            </w:r>
            <w:r w:rsidR="00C03FB6" w:rsidRPr="00FD4DC9">
              <w:rPr>
                <w:rStyle w:val="Strong"/>
                <w:b w:val="0"/>
              </w:rPr>
              <w:t xml:space="preserve"> each year</w:t>
            </w:r>
            <w:r w:rsidRPr="00FD4DC9">
              <w:rPr>
                <w:rStyle w:val="Strong"/>
                <w:b w:val="0"/>
              </w:rPr>
              <w:t>.</w:t>
            </w:r>
          </w:p>
          <w:p w:rsidR="00341E4D" w:rsidRPr="00FD4DC9" w:rsidRDefault="00341E4D" w:rsidP="00FD4DC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FD4DC9">
              <w:rPr>
                <w:rStyle w:val="Strong"/>
                <w:b w:val="0"/>
              </w:rPr>
              <w:t xml:space="preserve">Limited opportunities and resources to ensure mitigation </w:t>
            </w:r>
            <w:r w:rsidR="00522A90" w:rsidRPr="00FD4DC9">
              <w:rPr>
                <w:rStyle w:val="Strong"/>
                <w:b w:val="0"/>
              </w:rPr>
              <w:t>is</w:t>
            </w:r>
            <w:r w:rsidRPr="00FD4DC9">
              <w:rPr>
                <w:rStyle w:val="Strong"/>
                <w:b w:val="0"/>
              </w:rPr>
              <w:t xml:space="preserve"> successful.</w:t>
            </w:r>
          </w:p>
          <w:p w:rsidR="00DA64C4" w:rsidRPr="00FD4DC9" w:rsidRDefault="00522A90" w:rsidP="00FD4DC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FD4DC9">
              <w:rPr>
                <w:rStyle w:val="Strong"/>
                <w:b w:val="0"/>
              </w:rPr>
              <w:t>Limited regulatory tools to protect</w:t>
            </w:r>
            <w:r w:rsidR="00DA64C4" w:rsidRPr="00FD4DC9">
              <w:rPr>
                <w:rStyle w:val="Strong"/>
                <w:b w:val="0"/>
              </w:rPr>
              <w:t xml:space="preserve"> and </w:t>
            </w:r>
            <w:r w:rsidRPr="00FD4DC9">
              <w:rPr>
                <w:rStyle w:val="Strong"/>
                <w:b w:val="0"/>
              </w:rPr>
              <w:t>regulate</w:t>
            </w:r>
            <w:r w:rsidR="00DA64C4" w:rsidRPr="00FD4DC9">
              <w:rPr>
                <w:rStyle w:val="Strong"/>
                <w:b w:val="0"/>
              </w:rPr>
              <w:t xml:space="preserve"> impacts to waters of the State where no waters of the U.S. are designated.</w:t>
            </w:r>
          </w:p>
          <w:p w:rsidR="00341E4D" w:rsidRPr="00FD4DC9" w:rsidRDefault="00341E4D" w:rsidP="00FD4DC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FD4DC9">
              <w:rPr>
                <w:rStyle w:val="Strong"/>
                <w:b w:val="0"/>
              </w:rPr>
              <w:t>Identification of priority functions and values of waters requiring protection and impact avoidance where possible.</w:t>
            </w:r>
          </w:p>
          <w:p w:rsidR="00341E4D" w:rsidRPr="00FD4DC9" w:rsidRDefault="00341E4D" w:rsidP="00FD4DC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FD4DC9">
              <w:rPr>
                <w:rStyle w:val="Strong"/>
                <w:b w:val="0"/>
              </w:rPr>
              <w:t xml:space="preserve">Expansion of basin plan prohibitions </w:t>
            </w:r>
            <w:r w:rsidR="000C1049">
              <w:rPr>
                <w:rStyle w:val="Strong"/>
                <w:b w:val="0"/>
              </w:rPr>
              <w:t>and</w:t>
            </w:r>
            <w:r w:rsidRPr="00FD4DC9">
              <w:rPr>
                <w:rStyle w:val="Strong"/>
                <w:b w:val="0"/>
              </w:rPr>
              <w:t xml:space="preserve"> policies to protect floodplains and riparian areas</w:t>
            </w:r>
            <w:r w:rsidR="00E00C55" w:rsidRPr="00FD4DC9">
              <w:rPr>
                <w:rStyle w:val="Strong"/>
                <w:b w:val="0"/>
              </w:rPr>
              <w:t xml:space="preserve"> </w:t>
            </w:r>
            <w:r w:rsidR="00F67CA4" w:rsidRPr="00FD4DC9">
              <w:rPr>
                <w:rStyle w:val="Strong"/>
                <w:b w:val="0"/>
              </w:rPr>
              <w:t>(</w:t>
            </w:r>
            <w:r w:rsidR="00093143" w:rsidRPr="00FD4DC9">
              <w:rPr>
                <w:rStyle w:val="Strong"/>
                <w:b w:val="0"/>
              </w:rPr>
              <w:t xml:space="preserve">currently </w:t>
            </w:r>
            <w:r w:rsidR="00F67CA4" w:rsidRPr="00FD4DC9">
              <w:rPr>
                <w:rStyle w:val="Strong"/>
                <w:b w:val="0"/>
              </w:rPr>
              <w:t>being evaluated as part of the Climate Change Strategy efforts).</w:t>
            </w:r>
          </w:p>
          <w:p w:rsidR="000E0CDA" w:rsidRPr="00FD4DC9" w:rsidRDefault="000E0CDA" w:rsidP="00FD4DC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FD4DC9">
              <w:rPr>
                <w:rStyle w:val="Strong"/>
                <w:b w:val="0"/>
              </w:rPr>
              <w:t>Incentivizing watershed restoration and resil</w:t>
            </w:r>
            <w:r w:rsidR="001672A1">
              <w:rPr>
                <w:rStyle w:val="Strong"/>
                <w:b w:val="0"/>
              </w:rPr>
              <w:t>i</w:t>
            </w:r>
            <w:r w:rsidRPr="00FD4DC9">
              <w:rPr>
                <w:rStyle w:val="Strong"/>
                <w:b w:val="0"/>
              </w:rPr>
              <w:t>ency efforts</w:t>
            </w:r>
            <w:r w:rsidR="00E00C55" w:rsidRPr="00FD4DC9">
              <w:rPr>
                <w:rStyle w:val="Strong"/>
                <w:b w:val="0"/>
              </w:rPr>
              <w:t xml:space="preserve"> </w:t>
            </w:r>
            <w:r w:rsidR="00F67CA4" w:rsidRPr="00FD4DC9">
              <w:rPr>
                <w:rStyle w:val="Strong"/>
                <w:b w:val="0"/>
              </w:rPr>
              <w:t>(</w:t>
            </w:r>
            <w:r w:rsidR="001B3890" w:rsidRPr="00FD4DC9">
              <w:rPr>
                <w:rStyle w:val="Strong"/>
                <w:b w:val="0"/>
              </w:rPr>
              <w:t xml:space="preserve">partly </w:t>
            </w:r>
            <w:r w:rsidR="00F67CA4" w:rsidRPr="00FD4DC9">
              <w:rPr>
                <w:rStyle w:val="Strong"/>
                <w:b w:val="0"/>
              </w:rPr>
              <w:t>being evaluated as part of the Climate Change Strategy efforts).</w:t>
            </w:r>
          </w:p>
          <w:p w:rsidR="000E0CDA" w:rsidRDefault="00F67CA4" w:rsidP="00F90D31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FD4DC9">
              <w:rPr>
                <w:rStyle w:val="Strong"/>
                <w:b w:val="0"/>
              </w:rPr>
              <w:t>Limited resources for outreach and education.</w:t>
            </w:r>
          </w:p>
          <w:p w:rsidR="00FD4DC9" w:rsidRPr="000A2DF8" w:rsidRDefault="00FD4DC9" w:rsidP="00FD4DC9">
            <w:pPr>
              <w:pStyle w:val="ListParagraph"/>
              <w:ind w:left="360"/>
              <w:rPr>
                <w:rStyle w:val="Strong"/>
                <w:b w:val="0"/>
                <w:sz w:val="16"/>
                <w:szCs w:val="16"/>
              </w:rPr>
            </w:pPr>
          </w:p>
        </w:tc>
      </w:tr>
    </w:tbl>
    <w:p w:rsidR="008D2140" w:rsidRPr="006A22C8" w:rsidRDefault="008D2140" w:rsidP="006E2317">
      <w:pPr>
        <w:rPr>
          <w:rStyle w:val="Strong"/>
          <w:b w:val="0"/>
        </w:rPr>
      </w:pPr>
    </w:p>
    <w:sectPr w:rsidR="008D2140" w:rsidRPr="006A22C8" w:rsidSect="006E2317">
      <w:footerReference w:type="default" r:id="rId12"/>
      <w:pgSz w:w="12240" w:h="15840"/>
      <w:pgMar w:top="1296" w:right="1296" w:bottom="270" w:left="1296" w:header="720" w:footer="6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8F" w:rsidRDefault="00FF368F" w:rsidP="007B35D0">
      <w:r>
        <w:separator/>
      </w:r>
    </w:p>
  </w:endnote>
  <w:endnote w:type="continuationSeparator" w:id="0">
    <w:p w:rsidR="00FF368F" w:rsidRDefault="00FF368F" w:rsidP="007B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D0" w:rsidRPr="00EC2619" w:rsidRDefault="00EC2619">
    <w:pPr>
      <w:pStyle w:val="Footer"/>
      <w:rPr>
        <w:sz w:val="16"/>
        <w:szCs w:val="16"/>
      </w:rPr>
    </w:pPr>
    <w:r w:rsidRPr="00EC2619">
      <w:rPr>
        <w:sz w:val="16"/>
        <w:szCs w:val="16"/>
      </w:rPr>
      <w:fldChar w:fldCharType="begin"/>
    </w:r>
    <w:r w:rsidRPr="00EC2619">
      <w:rPr>
        <w:sz w:val="16"/>
        <w:szCs w:val="16"/>
      </w:rPr>
      <w:instrText xml:space="preserve"> FILENAME  \p  \* MERGEFORMAT </w:instrText>
    </w:r>
    <w:r w:rsidRPr="00EC2619">
      <w:rPr>
        <w:sz w:val="16"/>
        <w:szCs w:val="16"/>
      </w:rPr>
      <w:fldChar w:fldCharType="separate"/>
    </w:r>
    <w:r w:rsidR="00C05BEB">
      <w:rPr>
        <w:noProof/>
        <w:sz w:val="16"/>
        <w:szCs w:val="16"/>
      </w:rPr>
      <w:t>R:\RB6\RB6Victorville\Shared\Units\JAN's UNIT\Jan\PFS - XX Dredge and Fill 2017-2018.docx</w:t>
    </w:r>
    <w:r w:rsidRPr="00EC26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8F" w:rsidRDefault="00FF368F" w:rsidP="007B35D0">
      <w:r>
        <w:separator/>
      </w:r>
    </w:p>
  </w:footnote>
  <w:footnote w:type="continuationSeparator" w:id="0">
    <w:p w:rsidR="00FF368F" w:rsidRDefault="00FF368F" w:rsidP="007B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22D"/>
    <w:multiLevelType w:val="hybridMultilevel"/>
    <w:tmpl w:val="F416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4954"/>
    <w:multiLevelType w:val="hybridMultilevel"/>
    <w:tmpl w:val="C9A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5A8E"/>
    <w:multiLevelType w:val="hybridMultilevel"/>
    <w:tmpl w:val="965E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4AF5"/>
    <w:multiLevelType w:val="hybridMultilevel"/>
    <w:tmpl w:val="0F28B71A"/>
    <w:lvl w:ilvl="0" w:tplc="1270A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22705"/>
    <w:multiLevelType w:val="hybridMultilevel"/>
    <w:tmpl w:val="189A5470"/>
    <w:lvl w:ilvl="0" w:tplc="CF8CB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A53F5F"/>
    <w:multiLevelType w:val="hybridMultilevel"/>
    <w:tmpl w:val="BC5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666A3"/>
    <w:multiLevelType w:val="hybridMultilevel"/>
    <w:tmpl w:val="B7444496"/>
    <w:lvl w:ilvl="0" w:tplc="9374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CE2"/>
    <w:multiLevelType w:val="hybridMultilevel"/>
    <w:tmpl w:val="A5589CC4"/>
    <w:lvl w:ilvl="0" w:tplc="7360A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0"/>
    <w:rsid w:val="00001CFD"/>
    <w:rsid w:val="0001018C"/>
    <w:rsid w:val="00016381"/>
    <w:rsid w:val="00047FBA"/>
    <w:rsid w:val="00052621"/>
    <w:rsid w:val="00064615"/>
    <w:rsid w:val="000762AF"/>
    <w:rsid w:val="000768EA"/>
    <w:rsid w:val="00077D75"/>
    <w:rsid w:val="00093143"/>
    <w:rsid w:val="000A2D34"/>
    <w:rsid w:val="000A2DF8"/>
    <w:rsid w:val="000B2294"/>
    <w:rsid w:val="000B3681"/>
    <w:rsid w:val="000C1049"/>
    <w:rsid w:val="000D71D5"/>
    <w:rsid w:val="000E014E"/>
    <w:rsid w:val="000E0CDA"/>
    <w:rsid w:val="000E1447"/>
    <w:rsid w:val="000E146D"/>
    <w:rsid w:val="000E2D13"/>
    <w:rsid w:val="000F1BBB"/>
    <w:rsid w:val="001327DC"/>
    <w:rsid w:val="00134393"/>
    <w:rsid w:val="00145520"/>
    <w:rsid w:val="00150981"/>
    <w:rsid w:val="00164A4E"/>
    <w:rsid w:val="001672A1"/>
    <w:rsid w:val="00182604"/>
    <w:rsid w:val="00186F5B"/>
    <w:rsid w:val="001879A4"/>
    <w:rsid w:val="00190F4F"/>
    <w:rsid w:val="00193B67"/>
    <w:rsid w:val="001A0D7C"/>
    <w:rsid w:val="001B1731"/>
    <w:rsid w:val="001B3890"/>
    <w:rsid w:val="001B4830"/>
    <w:rsid w:val="001B7AC7"/>
    <w:rsid w:val="001D10DE"/>
    <w:rsid w:val="001E3887"/>
    <w:rsid w:val="001F2DFF"/>
    <w:rsid w:val="00253634"/>
    <w:rsid w:val="00254063"/>
    <w:rsid w:val="00283629"/>
    <w:rsid w:val="00283FC4"/>
    <w:rsid w:val="00285EA9"/>
    <w:rsid w:val="002A51A8"/>
    <w:rsid w:val="002B2149"/>
    <w:rsid w:val="002C06A4"/>
    <w:rsid w:val="002C2AC4"/>
    <w:rsid w:val="002C35DA"/>
    <w:rsid w:val="002D3E11"/>
    <w:rsid w:val="002D6B44"/>
    <w:rsid w:val="002E0A12"/>
    <w:rsid w:val="002F2244"/>
    <w:rsid w:val="002F69E6"/>
    <w:rsid w:val="00301DA0"/>
    <w:rsid w:val="00311105"/>
    <w:rsid w:val="003116AF"/>
    <w:rsid w:val="00325103"/>
    <w:rsid w:val="003356C8"/>
    <w:rsid w:val="00341E4D"/>
    <w:rsid w:val="00356128"/>
    <w:rsid w:val="003738C7"/>
    <w:rsid w:val="00383526"/>
    <w:rsid w:val="00397597"/>
    <w:rsid w:val="003D18E9"/>
    <w:rsid w:val="003F4BF5"/>
    <w:rsid w:val="00410B88"/>
    <w:rsid w:val="004526D7"/>
    <w:rsid w:val="0046495D"/>
    <w:rsid w:val="00472363"/>
    <w:rsid w:val="00486F72"/>
    <w:rsid w:val="00491320"/>
    <w:rsid w:val="0049336F"/>
    <w:rsid w:val="004C0815"/>
    <w:rsid w:val="004D171C"/>
    <w:rsid w:val="004D2DE2"/>
    <w:rsid w:val="005013DA"/>
    <w:rsid w:val="00503353"/>
    <w:rsid w:val="00522A90"/>
    <w:rsid w:val="00526AEC"/>
    <w:rsid w:val="00542F59"/>
    <w:rsid w:val="00563C78"/>
    <w:rsid w:val="005672C8"/>
    <w:rsid w:val="00572047"/>
    <w:rsid w:val="00584AEE"/>
    <w:rsid w:val="00590AE1"/>
    <w:rsid w:val="0059312B"/>
    <w:rsid w:val="00596DB4"/>
    <w:rsid w:val="005A2F37"/>
    <w:rsid w:val="005A75F9"/>
    <w:rsid w:val="005B0371"/>
    <w:rsid w:val="005B0632"/>
    <w:rsid w:val="005B25F2"/>
    <w:rsid w:val="005C26AF"/>
    <w:rsid w:val="005C6778"/>
    <w:rsid w:val="005D6B26"/>
    <w:rsid w:val="005D7BC5"/>
    <w:rsid w:val="005E3FE6"/>
    <w:rsid w:val="005E7ABE"/>
    <w:rsid w:val="00611346"/>
    <w:rsid w:val="006202FC"/>
    <w:rsid w:val="006338D1"/>
    <w:rsid w:val="006443C5"/>
    <w:rsid w:val="00653D1F"/>
    <w:rsid w:val="00655F2A"/>
    <w:rsid w:val="00682F07"/>
    <w:rsid w:val="00685F70"/>
    <w:rsid w:val="006A22C8"/>
    <w:rsid w:val="006A4283"/>
    <w:rsid w:val="006B0891"/>
    <w:rsid w:val="006B6F77"/>
    <w:rsid w:val="006C4264"/>
    <w:rsid w:val="006D7058"/>
    <w:rsid w:val="006E02DD"/>
    <w:rsid w:val="006E2317"/>
    <w:rsid w:val="006E50B8"/>
    <w:rsid w:val="006F00F3"/>
    <w:rsid w:val="006F30E6"/>
    <w:rsid w:val="00703712"/>
    <w:rsid w:val="00704521"/>
    <w:rsid w:val="00706F6D"/>
    <w:rsid w:val="00733DB7"/>
    <w:rsid w:val="00754403"/>
    <w:rsid w:val="00757181"/>
    <w:rsid w:val="00785AC3"/>
    <w:rsid w:val="007A30A2"/>
    <w:rsid w:val="007A38CD"/>
    <w:rsid w:val="007B07F3"/>
    <w:rsid w:val="007B35D0"/>
    <w:rsid w:val="007E2179"/>
    <w:rsid w:val="007E5AB5"/>
    <w:rsid w:val="007F414E"/>
    <w:rsid w:val="007F6BCB"/>
    <w:rsid w:val="00802548"/>
    <w:rsid w:val="00804BF0"/>
    <w:rsid w:val="00810D68"/>
    <w:rsid w:val="0082107B"/>
    <w:rsid w:val="00835EA4"/>
    <w:rsid w:val="0083783E"/>
    <w:rsid w:val="00841324"/>
    <w:rsid w:val="008570B2"/>
    <w:rsid w:val="0086127F"/>
    <w:rsid w:val="00870CA2"/>
    <w:rsid w:val="0087467F"/>
    <w:rsid w:val="0087727C"/>
    <w:rsid w:val="0089559A"/>
    <w:rsid w:val="008A3B77"/>
    <w:rsid w:val="008B53CE"/>
    <w:rsid w:val="008C2523"/>
    <w:rsid w:val="008D2140"/>
    <w:rsid w:val="008D2909"/>
    <w:rsid w:val="008D46C9"/>
    <w:rsid w:val="008D66B7"/>
    <w:rsid w:val="008E5A38"/>
    <w:rsid w:val="00904CC2"/>
    <w:rsid w:val="009054B3"/>
    <w:rsid w:val="009210FF"/>
    <w:rsid w:val="009370D6"/>
    <w:rsid w:val="00942D0E"/>
    <w:rsid w:val="00951B90"/>
    <w:rsid w:val="00970B5D"/>
    <w:rsid w:val="00987DB4"/>
    <w:rsid w:val="0099215A"/>
    <w:rsid w:val="00993815"/>
    <w:rsid w:val="009A3928"/>
    <w:rsid w:val="009E27EB"/>
    <w:rsid w:val="009E7F67"/>
    <w:rsid w:val="009F5486"/>
    <w:rsid w:val="00A06265"/>
    <w:rsid w:val="00A10F86"/>
    <w:rsid w:val="00A11A10"/>
    <w:rsid w:val="00A66CE9"/>
    <w:rsid w:val="00A66DBB"/>
    <w:rsid w:val="00A84CF3"/>
    <w:rsid w:val="00B074CD"/>
    <w:rsid w:val="00B10BC0"/>
    <w:rsid w:val="00B11F51"/>
    <w:rsid w:val="00B24389"/>
    <w:rsid w:val="00B409D3"/>
    <w:rsid w:val="00B80B13"/>
    <w:rsid w:val="00B86C8B"/>
    <w:rsid w:val="00BA1B7E"/>
    <w:rsid w:val="00BA2856"/>
    <w:rsid w:val="00BA3741"/>
    <w:rsid w:val="00BA416A"/>
    <w:rsid w:val="00BA49C7"/>
    <w:rsid w:val="00BB20D4"/>
    <w:rsid w:val="00BB5039"/>
    <w:rsid w:val="00BB6259"/>
    <w:rsid w:val="00BC03BB"/>
    <w:rsid w:val="00BD2478"/>
    <w:rsid w:val="00BE3B62"/>
    <w:rsid w:val="00BE5C96"/>
    <w:rsid w:val="00BF019C"/>
    <w:rsid w:val="00C03FB6"/>
    <w:rsid w:val="00C05BEB"/>
    <w:rsid w:val="00C1363B"/>
    <w:rsid w:val="00C2443A"/>
    <w:rsid w:val="00C32C3C"/>
    <w:rsid w:val="00C646D3"/>
    <w:rsid w:val="00C94697"/>
    <w:rsid w:val="00C95421"/>
    <w:rsid w:val="00CB25C0"/>
    <w:rsid w:val="00CC6643"/>
    <w:rsid w:val="00CC75A7"/>
    <w:rsid w:val="00CD384C"/>
    <w:rsid w:val="00CF2B2F"/>
    <w:rsid w:val="00D10616"/>
    <w:rsid w:val="00D1646B"/>
    <w:rsid w:val="00D2263A"/>
    <w:rsid w:val="00D22E6D"/>
    <w:rsid w:val="00D41CD4"/>
    <w:rsid w:val="00D50ED0"/>
    <w:rsid w:val="00D95240"/>
    <w:rsid w:val="00DA4BC1"/>
    <w:rsid w:val="00DA64C4"/>
    <w:rsid w:val="00DF3AC0"/>
    <w:rsid w:val="00DF5576"/>
    <w:rsid w:val="00DF6C9A"/>
    <w:rsid w:val="00E00C55"/>
    <w:rsid w:val="00E05662"/>
    <w:rsid w:val="00E1568B"/>
    <w:rsid w:val="00E22A8B"/>
    <w:rsid w:val="00E2323E"/>
    <w:rsid w:val="00E36DA2"/>
    <w:rsid w:val="00E63804"/>
    <w:rsid w:val="00E72B91"/>
    <w:rsid w:val="00E7328E"/>
    <w:rsid w:val="00E97B8F"/>
    <w:rsid w:val="00EB1862"/>
    <w:rsid w:val="00EB25C5"/>
    <w:rsid w:val="00EB5463"/>
    <w:rsid w:val="00EB77D7"/>
    <w:rsid w:val="00EC2619"/>
    <w:rsid w:val="00EC306A"/>
    <w:rsid w:val="00EC67C7"/>
    <w:rsid w:val="00ED69F7"/>
    <w:rsid w:val="00ED6ED2"/>
    <w:rsid w:val="00F025A0"/>
    <w:rsid w:val="00F03ACD"/>
    <w:rsid w:val="00F07D14"/>
    <w:rsid w:val="00F32AE1"/>
    <w:rsid w:val="00F524AD"/>
    <w:rsid w:val="00F52821"/>
    <w:rsid w:val="00F67CA4"/>
    <w:rsid w:val="00F807AA"/>
    <w:rsid w:val="00F86950"/>
    <w:rsid w:val="00F877CB"/>
    <w:rsid w:val="00F90D31"/>
    <w:rsid w:val="00F93C0A"/>
    <w:rsid w:val="00F97385"/>
    <w:rsid w:val="00FA17EF"/>
    <w:rsid w:val="00FA2C2A"/>
    <w:rsid w:val="00FB07A2"/>
    <w:rsid w:val="00FB5D5E"/>
    <w:rsid w:val="00FB70CA"/>
    <w:rsid w:val="00FD4DC9"/>
    <w:rsid w:val="00FE59AD"/>
    <w:rsid w:val="00FF368F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uiPriority w:val="22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84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4C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8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CF3"/>
    <w:rPr>
      <w:rFonts w:ascii="Arial" w:hAnsi="Arial"/>
      <w:b/>
      <w:bCs/>
    </w:rPr>
  </w:style>
  <w:style w:type="character" w:styleId="Hyperlink">
    <w:name w:val="Hyperlink"/>
    <w:basedOn w:val="DefaultParagraphFont"/>
    <w:rsid w:val="001E38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6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7B3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5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7B3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5D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6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6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Emphasis">
    <w:name w:val="Emphasis"/>
    <w:basedOn w:val="DefaultParagraphFont"/>
    <w:qFormat/>
    <w:rsid w:val="004526D7"/>
    <w:rPr>
      <w:i/>
      <w:iCs/>
    </w:rPr>
  </w:style>
  <w:style w:type="character" w:styleId="Strong">
    <w:name w:val="Strong"/>
    <w:basedOn w:val="DefaultParagraphFont"/>
    <w:uiPriority w:val="22"/>
    <w:qFormat/>
    <w:rsid w:val="004526D7"/>
    <w:rPr>
      <w:b/>
      <w:bCs/>
    </w:rPr>
  </w:style>
  <w:style w:type="table" w:styleId="TableGrid">
    <w:name w:val="Table Grid"/>
    <w:basedOn w:val="TableNormal"/>
    <w:rsid w:val="008D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F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84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4C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8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CF3"/>
    <w:rPr>
      <w:rFonts w:ascii="Arial" w:hAnsi="Arial"/>
      <w:b/>
      <w:bCs/>
    </w:rPr>
  </w:style>
  <w:style w:type="character" w:styleId="Hyperlink">
    <w:name w:val="Hyperlink"/>
    <w:basedOn w:val="DefaultParagraphFont"/>
    <w:rsid w:val="001E38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6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7B3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5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7B3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5D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Staff Activities</a:t>
            </a:r>
          </a:p>
        </c:rich>
      </c:tx>
      <c:layout>
        <c:manualLayout>
          <c:xMode val="edge"/>
          <c:yMode val="edge"/>
          <c:x val="0.12576596790836503"/>
          <c:y val="1.98265179677819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9109172164290275E-2"/>
          <c:y val="0.20352076808242836"/>
          <c:w val="0.57906192806980217"/>
          <c:h val="0.796479231917571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Staff Time</c:v>
                </c:pt>
              </c:strCache>
            </c:strRef>
          </c:tx>
          <c:dLbls>
            <c:dLbl>
              <c:idx val="0"/>
              <c:layout>
                <c:manualLayout>
                  <c:x val="9.7326158768412524E-2"/>
                  <c:y val="-0.22607265169920673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596-4FC6-A4B4-CE9D391BECD9}"/>
                </c:ext>
              </c:extLst>
            </c:dLbl>
            <c:dLbl>
              <c:idx val="1"/>
              <c:layout>
                <c:manualLayout>
                  <c:x val="-1.2066011537476086E-2"/>
                  <c:y val="4.2916995970299229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596-4FC6-A4B4-CE9D391BECD9}"/>
                </c:ext>
              </c:extLst>
            </c:dLbl>
            <c:dLbl>
              <c:idx val="2"/>
              <c:layout>
                <c:manualLayout>
                  <c:x val="-2.9466963067611273E-2"/>
                  <c:y val="8.8091404931260921E-3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596-4FC6-A4B4-CE9D391BECD9}"/>
                </c:ext>
              </c:extLst>
            </c:dLbl>
            <c:dLbl>
              <c:idx val="3"/>
              <c:layout>
                <c:manualLayout>
                  <c:x val="-1.1020574934729466E-2"/>
                  <c:y val="-5.71924791928889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596-4FC6-A4B4-CE9D391BECD9}"/>
                </c:ext>
              </c:extLst>
            </c:dLbl>
            <c:dLbl>
              <c:idx val="4"/>
              <c:layout>
                <c:manualLayout>
                  <c:x val="-1.2596486125250175E-2"/>
                  <c:y val="1.15622164329830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AB3-43E7-B325-25ECF25620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Permitting</c:v>
                </c:pt>
                <c:pt idx="1">
                  <c:v>Inspections</c:v>
                </c:pt>
                <c:pt idx="2">
                  <c:v>CEQA Review</c:v>
                </c:pt>
                <c:pt idx="3">
                  <c:v>Case Handling</c:v>
                </c:pt>
                <c:pt idx="4">
                  <c:v>Enforcement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596-4FC6-A4B4-CE9D391BEC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16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Active</a:t>
            </a:r>
            <a:r>
              <a:rPr lang="en-US" baseline="0"/>
              <a:t> Permits</a:t>
            </a:r>
            <a:endParaRPr lang="en-US"/>
          </a:p>
        </c:rich>
      </c:tx>
      <c:layout>
        <c:manualLayout>
          <c:xMode val="edge"/>
          <c:yMode val="edge"/>
          <c:x val="0.1152118781986025"/>
          <c:y val="1.98265179677819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9109172164290275E-2"/>
          <c:y val="0.20352076808242836"/>
          <c:w val="0.57906192806980217"/>
          <c:h val="0.796479231917571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Regulatory Measures</c:v>
                </c:pt>
              </c:strCache>
            </c:strRef>
          </c:tx>
          <c:dLbls>
            <c:dLbl>
              <c:idx val="0"/>
              <c:layout>
                <c:manualLayout>
                  <c:x val="0.12547039799444595"/>
                  <c:y val="-9.720028490862434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DF6-4608-94BA-BDDC57CD93B9}"/>
                </c:ext>
              </c:extLst>
            </c:dLbl>
            <c:dLbl>
              <c:idx val="1"/>
              <c:layout>
                <c:manualLayout>
                  <c:x val="-1.206587303236172E-2"/>
                  <c:y val="8.2205895266809128E-3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255936675461738"/>
                      <c:h val="0.123767038413878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DF6-4608-94BA-BDDC57CD93B9}"/>
                </c:ext>
              </c:extLst>
            </c:dLbl>
            <c:dLbl>
              <c:idx val="2"/>
              <c:layout>
                <c:manualLayout>
                  <c:x val="-1.1876813551340383E-2"/>
                  <c:y val="3.8525110011806145E-3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DF6-4608-94BA-BDDC57CD93B9}"/>
                </c:ext>
              </c:extLst>
            </c:dLbl>
            <c:dLbl>
              <c:idx val="3"/>
              <c:layout>
                <c:manualLayout>
                  <c:x val="1.3605634388049778E-2"/>
                  <c:y val="4.194011064602054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F6-4608-94BA-BDDC57CD93B9}"/>
                </c:ext>
              </c:extLst>
            </c:dLbl>
            <c:dLbl>
              <c:idx val="4"/>
              <c:layout>
                <c:manualLayout>
                  <c:x val="1.5547753100783246E-2"/>
                  <c:y val="2.14754754168740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F6-4608-94BA-BDDC57CD93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3"/>
                <c:pt idx="0">
                  <c:v>Fill and Excavation (234)</c:v>
                </c:pt>
                <c:pt idx="1">
                  <c:v>Restoration (21)</c:v>
                </c:pt>
                <c:pt idx="2">
                  <c:v>Dredging (16)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234</c:v>
                </c:pt>
                <c:pt idx="1">
                  <c:v>21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F6-4608-94BA-BDDC57CD93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16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857F-0D6C-4F79-B427-83C16671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Shay</dc:creator>
  <cp:lastModifiedBy>Kouyoumdjian, Patty@Waterboards</cp:lastModifiedBy>
  <cp:revision>3</cp:revision>
  <cp:lastPrinted>2018-02-08T21:10:00Z</cp:lastPrinted>
  <dcterms:created xsi:type="dcterms:W3CDTF">2018-03-12T18:23:00Z</dcterms:created>
  <dcterms:modified xsi:type="dcterms:W3CDTF">2018-03-20T16:24:00Z</dcterms:modified>
</cp:coreProperties>
</file>